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rPr>
          <w:rFonts w:hint="eastAsia"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生科学院</w:t>
      </w:r>
      <w:r>
        <w:rPr>
          <w:rFonts w:hint="eastAsia" w:ascii="黑体" w:hAnsi="黑体" w:eastAsia="黑体" w:cs="宋体"/>
          <w:sz w:val="36"/>
          <w:szCs w:val="36"/>
        </w:rPr>
        <w:t>全自动灭菌锅</w:t>
      </w:r>
      <w:r>
        <w:rPr>
          <w:rFonts w:hint="eastAsia" w:ascii="黑体" w:hAnsi="黑体" w:eastAsia="黑体"/>
          <w:color w:val="000000"/>
          <w:kern w:val="0"/>
          <w:sz w:val="36"/>
          <w:szCs w:val="36"/>
        </w:rPr>
        <w:t>等设备采购</w:t>
      </w: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w:t>
      </w:r>
      <w:r>
        <w:rPr>
          <w:rFonts w:hint="eastAsia" w:ascii="宋体" w:hAnsi="宋体"/>
          <w:snapToGrid w:val="0"/>
          <w:color w:val="000000"/>
          <w:sz w:val="24"/>
          <w:szCs w:val="24"/>
          <w:lang w:val="en-US" w:eastAsia="zh-CN"/>
        </w:rPr>
        <w:t>20190024</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 xml:space="preserve"> 5</w:t>
      </w:r>
      <w:r>
        <w:rPr>
          <w:rFonts w:hint="eastAsia" w:ascii="黑体" w:hAnsi="黑体" w:eastAsia="黑体"/>
          <w:b/>
          <w:color w:val="000000"/>
          <w:sz w:val="30"/>
          <w:szCs w:val="30"/>
        </w:rPr>
        <w:t>月</w:t>
      </w:r>
      <w:r>
        <w:rPr>
          <w:rFonts w:ascii="黑体" w:hAnsi="黑体" w:eastAsia="黑体"/>
          <w:b/>
          <w:color w:val="000000"/>
          <w:sz w:val="30"/>
          <w:szCs w:val="30"/>
        </w:rPr>
        <w:t xml:space="preserve"> </w:t>
      </w:r>
      <w:r>
        <w:rPr>
          <w:rFonts w:hint="eastAsia" w:ascii="黑体" w:hAnsi="黑体" w:eastAsia="黑体"/>
          <w:b/>
          <w:color w:val="000000"/>
          <w:sz w:val="30"/>
          <w:szCs w:val="30"/>
          <w:lang w:val="en-US" w:eastAsia="zh-CN"/>
        </w:rPr>
        <w:t>28</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r>
        <w:rPr>
          <w:rFonts w:hint="eastAsia"/>
          <w:color w:val="000000"/>
          <w:sz w:val="28"/>
        </w:rPr>
        <w:t>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rPr>
        <w:t>13</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rPr>
        <w:t>23</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rPr>
        <w:t>25</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项目名称：生科学院全自动灭菌锅等设备采购。</w:t>
      </w:r>
    </w:p>
    <w:p>
      <w:pPr>
        <w:spacing w:line="440" w:lineRule="exact"/>
        <w:ind w:firstLine="480" w:firstLineChars="200"/>
        <w:rPr>
          <w:sz w:val="24"/>
          <w:szCs w:val="24"/>
        </w:rPr>
      </w:pPr>
      <w:r>
        <w:rPr>
          <w:rFonts w:hint="eastAsia"/>
          <w:color w:val="auto"/>
          <w:sz w:val="24"/>
          <w:szCs w:val="24"/>
        </w:rPr>
        <w:t>项目最高限价：标段一</w:t>
      </w:r>
      <w:r>
        <w:rPr>
          <w:rFonts w:hint="eastAsia"/>
          <w:sz w:val="24"/>
          <w:szCs w:val="24"/>
        </w:rPr>
        <w:t>33.4万，标段二</w:t>
      </w:r>
      <w:r>
        <w:rPr>
          <w:sz w:val="24"/>
          <w:szCs w:val="24"/>
        </w:rPr>
        <w:t>8</w:t>
      </w:r>
      <w:r>
        <w:rPr>
          <w:rFonts w:hint="eastAsia"/>
          <w:sz w:val="24"/>
          <w:szCs w:val="24"/>
        </w:rPr>
        <w:t>万。</w:t>
      </w:r>
    </w:p>
    <w:p>
      <w:pPr>
        <w:widowControl/>
        <w:spacing w:line="440" w:lineRule="exact"/>
        <w:ind w:firstLine="480" w:firstLineChars="200"/>
        <w:rPr>
          <w:color w:val="000000"/>
          <w:sz w:val="24"/>
          <w:szCs w:val="24"/>
        </w:rPr>
      </w:pPr>
      <w:r>
        <w:rPr>
          <w:rFonts w:hint="eastAsia"/>
          <w:sz w:val="24"/>
          <w:szCs w:val="24"/>
        </w:rPr>
        <w:t>项目简要说明：本次采购益生菌制剂重点实验配套的PCR仪、核酸电泳、全自动灭菌锅、水产养殖等仪器设备。具体要求见第二章。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http://zbb.hyit.edu.cn/</w:t>
      </w:r>
      <w:r>
        <w:rPr>
          <w:rFonts w:hint="eastAsia" w:ascii="宋体" w:hAnsi="宋体" w:cs="仿宋"/>
          <w:color w:val="000000"/>
          <w:szCs w:val="21"/>
        </w:rPr>
        <w:t>或</w:t>
      </w:r>
      <w:r>
        <w:rPr>
          <w:color w:val="000000"/>
          <w:szCs w:val="21"/>
        </w:rPr>
        <w:t xml:space="preserve"> </w:t>
      </w:r>
      <w:r>
        <w:rPr>
          <w:rFonts w:ascii="宋体" w:hAnsi="宋体" w:cs="仿宋"/>
          <w:color w:val="000000"/>
          <w:szCs w:val="21"/>
        </w:rPr>
        <w:t>http://www.hyit.edu.cn/list.asp?classid=99</w:t>
      </w:r>
      <w:r>
        <w:rPr>
          <w:rFonts w:hint="eastAsia" w:ascii="宋体" w:hAnsi="宋体" w:cs="仿宋"/>
          <w:color w:val="000000"/>
          <w:szCs w:val="21"/>
        </w:rPr>
        <w:t>），</w:t>
      </w:r>
      <w:r>
        <w:rPr>
          <w:rFonts w:hint="eastAsia" w:ascii="宋体" w:hAnsi="宋体" w:cs="仿宋"/>
          <w:color w:val="000000"/>
          <w:sz w:val="24"/>
          <w:szCs w:val="24"/>
        </w:rPr>
        <w:t>投标人</w:t>
      </w:r>
      <w:r>
        <w:rPr>
          <w:rFonts w:hint="eastAsia" w:ascii="宋体" w:hAnsi="宋体" w:cs="仿宋"/>
          <w:color w:val="auto"/>
          <w:sz w:val="24"/>
          <w:szCs w:val="24"/>
        </w:rPr>
        <w:t>无需提前现场报名，可直接在网站下载招标文件电子文档。招标文件资料费为100元/标段。投</w:t>
      </w:r>
      <w:r>
        <w:rPr>
          <w:rFonts w:hint="eastAsia" w:ascii="宋体" w:hAnsi="宋体" w:cs="仿宋"/>
          <w:sz w:val="24"/>
          <w:szCs w:val="24"/>
        </w:rPr>
        <w:t>标</w:t>
      </w:r>
      <w:r>
        <w:rPr>
          <w:rFonts w:hint="eastAsia" w:ascii="宋体" w:hAnsi="宋体" w:cs="仿宋"/>
          <w:color w:val="000000"/>
          <w:sz w:val="24"/>
          <w:szCs w:val="24"/>
        </w:rPr>
        <w:t>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spacing w:val="15"/>
          <w:kern w:val="0"/>
          <w:sz w:val="24"/>
          <w:szCs w:val="24"/>
        </w:rPr>
        <w:t>本项目投标保证金金额标段</w:t>
      </w:r>
      <w:r>
        <w:rPr>
          <w:rFonts w:hint="eastAsia"/>
          <w:color w:val="auto"/>
          <w:spacing w:val="15"/>
          <w:kern w:val="0"/>
          <w:sz w:val="24"/>
          <w:szCs w:val="24"/>
        </w:rPr>
        <w:t>一为7000元、标段二为</w:t>
      </w:r>
      <w:r>
        <w:rPr>
          <w:color w:val="auto"/>
          <w:spacing w:val="15"/>
          <w:kern w:val="0"/>
          <w:sz w:val="24"/>
          <w:szCs w:val="24"/>
        </w:rPr>
        <w:t>1</w:t>
      </w:r>
      <w:r>
        <w:rPr>
          <w:rFonts w:hint="eastAsia"/>
          <w:color w:val="auto"/>
          <w:spacing w:val="15"/>
          <w:kern w:val="0"/>
          <w:sz w:val="24"/>
          <w:szCs w:val="24"/>
        </w:rPr>
        <w:t>000元。投</w:t>
      </w:r>
      <w:r>
        <w:rPr>
          <w:rFonts w:hint="eastAsia"/>
          <w:spacing w:val="15"/>
          <w:kern w:val="0"/>
          <w:sz w:val="24"/>
          <w:szCs w:val="24"/>
        </w:rPr>
        <w:t>标人</w:t>
      </w:r>
      <w:r>
        <w:rPr>
          <w:rFonts w:hint="eastAsia" w:ascii="宋体" w:hAnsi="宋体" w:cs="仿宋"/>
          <w:sz w:val="24"/>
          <w:szCs w:val="24"/>
        </w:rPr>
        <w:t>采用网上银行支付等非现金形式在投标截止前将投标保证金交纳至招标</w:t>
      </w:r>
      <w:r>
        <w:rPr>
          <w:rFonts w:hint="eastAsia" w:ascii="宋体" w:hAnsi="宋体" w:cs="仿宋"/>
          <w:color w:val="000000"/>
          <w:sz w:val="24"/>
          <w:szCs w:val="24"/>
        </w:rPr>
        <w:t>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非生产商投标须提供经销商、代理商资格证明材料（合同签订前提供）。</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FF0000"/>
          <w:kern w:val="0"/>
          <w:sz w:val="24"/>
          <w:szCs w:val="24"/>
        </w:rPr>
      </w:pPr>
      <w:r>
        <w:rPr>
          <w:rFonts w:ascii="宋体" w:hAnsi="宋体"/>
          <w:sz w:val="24"/>
          <w:szCs w:val="24"/>
        </w:rPr>
        <w:t>3.6</w:t>
      </w:r>
      <w:r>
        <w:rPr>
          <w:rFonts w:hint="eastAsia" w:ascii="宋体" w:hAnsi="宋体"/>
          <w:sz w:val="24"/>
          <w:szCs w:val="24"/>
        </w:rPr>
        <w:t>其他。</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hint="eastAsia"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w:t>
      </w:r>
      <w:r>
        <w:rPr>
          <w:rFonts w:hint="eastAsia" w:ascii="宋体" w:hAnsi="宋体"/>
          <w:color w:val="000000"/>
          <w:sz w:val="24"/>
          <w:szCs w:val="24"/>
        </w:rPr>
        <w:t>2投标货物交货时可提供的技术资料清单；</w:t>
      </w:r>
    </w:p>
    <w:p>
      <w:pPr>
        <w:spacing w:line="440" w:lineRule="exact"/>
        <w:ind w:firstLine="480" w:firstLineChars="200"/>
        <w:rPr>
          <w:rFonts w:hint="eastAsia" w:ascii="宋体"/>
          <w:color w:val="000000"/>
          <w:sz w:val="24"/>
          <w:szCs w:val="24"/>
        </w:rPr>
      </w:pPr>
      <w:r>
        <w:rPr>
          <w:rFonts w:ascii="宋体" w:hAnsi="宋体"/>
          <w:color w:val="000000"/>
          <w:sz w:val="24"/>
          <w:szCs w:val="24"/>
        </w:rPr>
        <w:t>6.</w:t>
      </w:r>
      <w:r>
        <w:rPr>
          <w:rFonts w:hint="eastAsia" w:ascii="宋体" w:hAnsi="宋体"/>
          <w:color w:val="000000"/>
          <w:sz w:val="24"/>
          <w:szCs w:val="24"/>
        </w:rPr>
        <w:t>3需买方配合的工作和条件。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1-7</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18</w:t>
      </w:r>
      <w:r>
        <w:rPr>
          <w:rFonts w:hint="eastAsia" w:ascii="宋体" w:hAnsi="宋体" w:cs="Arial"/>
          <w:color w:val="auto"/>
          <w:spacing w:val="15"/>
          <w:kern w:val="0"/>
          <w:sz w:val="24"/>
          <w:szCs w:val="24"/>
        </w:rPr>
        <w:t>日</w:t>
      </w:r>
      <w:r>
        <w:rPr>
          <w:rFonts w:hint="eastAsia" w:ascii="宋体" w:hAnsi="宋体" w:cs="Arial"/>
          <w:color w:val="auto"/>
          <w:spacing w:val="15"/>
          <w:kern w:val="0"/>
          <w:sz w:val="24"/>
          <w:szCs w:val="24"/>
          <w:lang w:val="en-US" w:eastAsia="zh-CN"/>
        </w:rPr>
        <w:t>下</w:t>
      </w:r>
      <w:r>
        <w:rPr>
          <w:rFonts w:hint="eastAsia" w:ascii="宋体" w:hAnsi="宋体" w:cs="Arial"/>
          <w:color w:val="auto"/>
          <w:spacing w:val="15"/>
          <w:kern w:val="0"/>
          <w:sz w:val="24"/>
          <w:szCs w:val="24"/>
        </w:rPr>
        <w:t>午</w:t>
      </w:r>
      <w:r>
        <w:rPr>
          <w:rFonts w:hint="eastAsia" w:ascii="宋体" w:hAnsi="宋体" w:cs="Arial"/>
          <w:color w:val="auto"/>
          <w:spacing w:val="15"/>
          <w:kern w:val="0"/>
          <w:sz w:val="24"/>
          <w:szCs w:val="24"/>
          <w:lang w:val="en-US" w:eastAsia="zh-CN"/>
        </w:rPr>
        <w:t>14</w:t>
      </w:r>
      <w:r>
        <w:rPr>
          <w:rFonts w:ascii="宋体" w:hAnsi="宋体" w:cs="Arial"/>
          <w:color w:val="auto"/>
          <w:spacing w:val="15"/>
          <w:kern w:val="0"/>
          <w:sz w:val="24"/>
          <w:szCs w:val="24"/>
        </w:rPr>
        <w:t>:</w:t>
      </w:r>
      <w:r>
        <w:rPr>
          <w:rFonts w:ascii="宋体" w:cs="Arial"/>
          <w:color w:val="auto"/>
          <w:spacing w:val="15"/>
          <w:kern w:val="0"/>
          <w:sz w:val="24"/>
          <w:szCs w:val="24"/>
        </w:rPr>
        <w:t>0</w:t>
      </w:r>
      <w:r>
        <w:rPr>
          <w:rFonts w:ascii="宋体" w:hAnsi="宋体" w:cs="Arial"/>
          <w:color w:val="auto"/>
          <w:spacing w:val="15"/>
          <w:kern w:val="0"/>
          <w:sz w:val="24"/>
          <w:szCs w:val="24"/>
        </w:rPr>
        <w:t>0-1</w:t>
      </w:r>
      <w:r>
        <w:rPr>
          <w:rFonts w:hint="eastAsia" w:ascii="宋体" w:hAnsi="宋体" w:cs="Arial"/>
          <w:color w:val="auto"/>
          <w:spacing w:val="15"/>
          <w:kern w:val="0"/>
          <w:sz w:val="24"/>
          <w:szCs w:val="24"/>
          <w:lang w:val="en-US" w:eastAsia="zh-CN"/>
        </w:rPr>
        <w:t>5</w:t>
      </w:r>
      <w:r>
        <w:rPr>
          <w:rFonts w:ascii="宋体" w:hAnsi="宋体" w:cs="Arial"/>
          <w:color w:val="000000"/>
          <w:spacing w:val="15"/>
          <w:kern w:val="0"/>
          <w:sz w:val="24"/>
          <w:szCs w:val="24"/>
        </w:rPr>
        <w:t>:</w:t>
      </w:r>
      <w:r>
        <w:rPr>
          <w:rFonts w:hint="eastAsia" w:ascii="宋体" w:hAnsi="宋体" w:cs="Arial"/>
          <w:color w:val="000000"/>
          <w:spacing w:val="15"/>
          <w:kern w:val="0"/>
          <w:sz w:val="24"/>
          <w:szCs w:val="24"/>
          <w:lang w:val="en-US" w:eastAsia="zh-CN"/>
        </w:rPr>
        <w:t>0</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18</w:t>
      </w:r>
      <w:r>
        <w:rPr>
          <w:rFonts w:hint="eastAsia" w:ascii="宋体" w:hAnsi="宋体" w:cs="Arial"/>
          <w:color w:val="auto"/>
          <w:spacing w:val="15"/>
          <w:kern w:val="0"/>
          <w:sz w:val="24"/>
          <w:szCs w:val="24"/>
        </w:rPr>
        <w:t>日下午</w:t>
      </w:r>
      <w:r>
        <w:rPr>
          <w:rFonts w:hint="eastAsia" w:ascii="宋体" w:hAnsi="宋体" w:cs="Arial"/>
          <w:color w:val="000000"/>
          <w:spacing w:val="15"/>
          <w:kern w:val="0"/>
          <w:sz w:val="24"/>
          <w:szCs w:val="24"/>
        </w:rPr>
        <w:t>（投标结束确定具体时间）</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b/>
          <w:color w:val="000000"/>
          <w:kern w:val="0"/>
          <w:sz w:val="24"/>
          <w:szCs w:val="24"/>
        </w:rPr>
        <w:t>本项目采用综合评分法。</w:t>
      </w:r>
      <w:r>
        <w:rPr>
          <w:rFonts w:hint="eastAsia" w:ascii="Arial" w:hAnsi="Arial" w:cs="Arial"/>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w:t>
      </w:r>
      <w:r>
        <w:rPr>
          <w:rFonts w:hint="eastAsia" w:ascii="Arial" w:hAnsi="Arial" w:cs="Arial"/>
          <w:kern w:val="0"/>
          <w:sz w:val="24"/>
          <w:szCs w:val="24"/>
        </w:rPr>
        <w:t>评委会将依据评分标准（见下表）</w:t>
      </w:r>
      <w:r>
        <w:rPr>
          <w:rFonts w:hint="eastAsia" w:ascii="Arial" w:hAnsi="Arial" w:cs="Arial"/>
          <w:b/>
          <w:kern w:val="0"/>
          <w:sz w:val="24"/>
          <w:szCs w:val="24"/>
        </w:rPr>
        <w:t>对各个标段分别进行评标，</w:t>
      </w:r>
      <w:r>
        <w:rPr>
          <w:rFonts w:hint="eastAsia" w:ascii="Arial" w:hAnsi="Arial" w:cs="Arial"/>
          <w:kern w:val="0"/>
          <w:sz w:val="24"/>
          <w:szCs w:val="24"/>
        </w:rPr>
        <w:t>本评分标准的总分为</w:t>
      </w:r>
      <w:r>
        <w:rPr>
          <w:rFonts w:ascii="Arial" w:hAnsi="Arial" w:cs="Arial"/>
          <w:kern w:val="0"/>
          <w:sz w:val="24"/>
          <w:szCs w:val="24"/>
        </w:rPr>
        <w:t>100</w:t>
      </w:r>
      <w:r>
        <w:rPr>
          <w:rFonts w:hint="eastAsia" w:ascii="Arial" w:hAnsi="Arial" w:cs="Arial"/>
          <w:kern w:val="0"/>
          <w:sz w:val="24"/>
          <w:szCs w:val="24"/>
        </w:rPr>
        <w:t>分。按评审</w:t>
      </w:r>
      <w:r>
        <w:rPr>
          <w:rFonts w:hint="eastAsia" w:ascii="Arial" w:hAnsi="Arial" w:cs="Arial"/>
          <w:color w:val="000000"/>
          <w:kern w:val="0"/>
          <w:sz w:val="24"/>
          <w:szCs w:val="24"/>
        </w:rPr>
        <w:t>后得分由高到低顺序排列。得分相同的，按投标报价由低到高顺序排列；得分且投标报价相同的并列，按技术指标优劣顺序排列。投标文件满足招标文件</w:t>
      </w:r>
      <w:r>
        <w:rPr>
          <w:rFonts w:hint="eastAsia" w:ascii="Arial" w:hAnsi="Arial" w:cs="Arial"/>
          <w:kern w:val="0"/>
          <w:sz w:val="24"/>
          <w:szCs w:val="24"/>
        </w:rPr>
        <w:t>全部实质性要求，</w:t>
      </w:r>
      <w:r>
        <w:rPr>
          <w:rFonts w:hint="eastAsia" w:ascii="Arial" w:hAnsi="Arial" w:cs="Arial"/>
          <w:color w:val="000000"/>
          <w:kern w:val="0"/>
          <w:sz w:val="24"/>
          <w:szCs w:val="24"/>
        </w:rPr>
        <w:t>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2"/>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534"/>
        <w:gridCol w:w="603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53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603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534" w:type="dxa"/>
            <w:vAlign w:val="center"/>
          </w:tcPr>
          <w:p>
            <w:pPr>
              <w:jc w:val="center"/>
              <w:rPr>
                <w:rFonts w:ascii="宋体" w:cs="宋体"/>
                <w:kern w:val="0"/>
                <w:szCs w:val="21"/>
              </w:rPr>
            </w:pPr>
            <w:r>
              <w:rPr>
                <w:rFonts w:hint="eastAsia" w:ascii="宋体" w:hAnsi="宋体" w:cs="宋体"/>
                <w:kern w:val="0"/>
                <w:szCs w:val="21"/>
              </w:rPr>
              <w:t>40</w:t>
            </w:r>
          </w:p>
        </w:tc>
        <w:tc>
          <w:tcPr>
            <w:tcW w:w="6034"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以满足招标要求且投标报价最低的有效报价为评标基准价，投标报价等于基准价得40分，投标价格高于基准价的按下列公式计算：</w:t>
            </w:r>
          </w:p>
          <w:p>
            <w:pPr>
              <w:rPr>
                <w:rFonts w:ascii="宋体" w:cs="宋体"/>
                <w:kern w:val="0"/>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w:t>
            </w:r>
            <w:r>
              <w:rPr>
                <w:rFonts w:hint="eastAsia" w:ascii="宋体" w:hAnsi="宋体" w:cs="宋体"/>
                <w:kern w:val="0"/>
                <w:szCs w:val="21"/>
              </w:rPr>
              <w:t>40</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技术要求</w:t>
            </w:r>
          </w:p>
        </w:tc>
        <w:tc>
          <w:tcPr>
            <w:tcW w:w="534" w:type="dxa"/>
            <w:vAlign w:val="center"/>
          </w:tcPr>
          <w:p>
            <w:pPr>
              <w:jc w:val="center"/>
              <w:rPr>
                <w:rFonts w:ascii="宋体" w:cs="宋体"/>
                <w:kern w:val="0"/>
                <w:szCs w:val="21"/>
              </w:rPr>
            </w:pPr>
            <w:r>
              <w:rPr>
                <w:rFonts w:hint="eastAsia" w:ascii="宋体" w:hAnsi="宋体" w:cs="宋体"/>
                <w:kern w:val="0"/>
                <w:szCs w:val="21"/>
              </w:rPr>
              <w:t>40</w:t>
            </w:r>
          </w:p>
        </w:tc>
        <w:tc>
          <w:tcPr>
            <w:tcW w:w="6034" w:type="dxa"/>
            <w:vAlign w:val="center"/>
          </w:tcPr>
          <w:p>
            <w:pPr>
              <w:rPr>
                <w:kern w:val="0"/>
              </w:rPr>
            </w:pPr>
            <w:r>
              <w:rPr>
                <w:kern w:val="0"/>
              </w:rPr>
              <w:t>（1）投标产品的配置和技术参数满足招标文件规定的配置及性能与参数要求，可得</w:t>
            </w:r>
            <w:r>
              <w:rPr>
                <w:rFonts w:hint="eastAsia"/>
                <w:kern w:val="0"/>
              </w:rPr>
              <w:t>35</w:t>
            </w:r>
            <w:r>
              <w:rPr>
                <w:kern w:val="0"/>
              </w:rPr>
              <w:t>分；</w:t>
            </w:r>
          </w:p>
          <w:p>
            <w:pPr>
              <w:rPr>
                <w:kern w:val="0"/>
              </w:rPr>
            </w:pPr>
            <w:r>
              <w:rPr>
                <w:kern w:val="0"/>
              </w:rPr>
              <w:t>（2）标有</w:t>
            </w:r>
            <w:r>
              <w:rPr>
                <w:rFonts w:ascii="Segoe UI Symbol" w:hAnsi="Segoe UI Symbol" w:cs="Segoe UI Symbol"/>
                <w:kern w:val="0"/>
              </w:rPr>
              <w:t>★</w:t>
            </w:r>
            <w:r>
              <w:rPr>
                <w:kern w:val="0"/>
              </w:rPr>
              <w:t>的指标为核心指标，投标产品的技术参数须全部满足招标的核心指标，否则为无效投标；</w:t>
            </w:r>
          </w:p>
          <w:p>
            <w:pPr>
              <w:rPr>
                <w:kern w:val="0"/>
              </w:rPr>
            </w:pPr>
            <w:r>
              <w:rPr>
                <w:kern w:val="0"/>
              </w:rPr>
              <w:t>（3）以</w:t>
            </w:r>
            <w:r>
              <w:rPr>
                <w:rFonts w:hint="eastAsia"/>
                <w:kern w:val="0"/>
              </w:rPr>
              <w:t>35</w:t>
            </w:r>
            <w:r>
              <w:rPr>
                <w:kern w:val="0"/>
              </w:rPr>
              <w:t>分为基数，其他指标参数不满足配置要求的，每一项负偏离扣</w:t>
            </w:r>
            <w:r>
              <w:rPr>
                <w:rFonts w:hint="eastAsia"/>
                <w:kern w:val="0"/>
              </w:rPr>
              <w:t>1</w:t>
            </w:r>
            <w:r>
              <w:rPr>
                <w:kern w:val="0"/>
              </w:rPr>
              <w:t>分，有5项不满足</w:t>
            </w:r>
            <w:r>
              <w:rPr>
                <w:rFonts w:hint="eastAsia"/>
                <w:kern w:val="0"/>
              </w:rPr>
              <w:t>为无效标</w:t>
            </w:r>
            <w:r>
              <w:rPr>
                <w:kern w:val="0"/>
              </w:rPr>
              <w:t>;</w:t>
            </w:r>
          </w:p>
          <w:p>
            <w:pPr>
              <w:rPr>
                <w:rFonts w:ascii="宋体" w:cs="宋体"/>
                <w:kern w:val="0"/>
                <w:szCs w:val="21"/>
              </w:rPr>
            </w:pPr>
            <w:r>
              <w:rPr>
                <w:kern w:val="0"/>
              </w:rPr>
              <w:t>（4）标有</w:t>
            </w:r>
            <w:r>
              <w:rPr>
                <w:rFonts w:ascii="Segoe UI Symbol" w:hAnsi="Segoe UI Symbol" w:cs="Segoe UI Symbol"/>
                <w:kern w:val="0"/>
              </w:rPr>
              <w:t>★</w:t>
            </w:r>
            <w:r>
              <w:rPr>
                <w:kern w:val="0"/>
              </w:rPr>
              <w:t>的核心指标为正偏离的，每一项加</w:t>
            </w:r>
            <w:r>
              <w:rPr>
                <w:rFonts w:hint="eastAsia"/>
                <w:kern w:val="0"/>
              </w:rPr>
              <w:t>1</w:t>
            </w:r>
            <w:r>
              <w:rPr>
                <w:kern w:val="0"/>
              </w:rPr>
              <w:t>分，最高不超过5分（须提供正偏离的证明材料，经2/3评委认可</w:t>
            </w:r>
            <w:r>
              <w:rPr>
                <w:rFonts w:hint="eastAsia"/>
                <w:kern w:val="0"/>
              </w:rPr>
              <w:t>，</w:t>
            </w:r>
            <w:r>
              <w:rPr>
                <w:kern w:val="0"/>
              </w:rPr>
              <w:t>否则不加分）。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品牌</w:t>
            </w:r>
          </w:p>
        </w:tc>
        <w:tc>
          <w:tcPr>
            <w:tcW w:w="534" w:type="dxa"/>
            <w:vAlign w:val="center"/>
          </w:tcPr>
          <w:p>
            <w:pPr>
              <w:jc w:val="center"/>
              <w:rPr>
                <w:rFonts w:ascii="宋体" w:cs="宋体"/>
                <w:kern w:val="0"/>
                <w:szCs w:val="21"/>
              </w:rPr>
            </w:pPr>
            <w:r>
              <w:rPr>
                <w:rFonts w:hint="eastAsia" w:ascii="宋体" w:hAnsi="宋体" w:cs="宋体"/>
                <w:kern w:val="0"/>
                <w:szCs w:val="21"/>
              </w:rPr>
              <w:t>10</w:t>
            </w:r>
          </w:p>
        </w:tc>
        <w:tc>
          <w:tcPr>
            <w:tcW w:w="6034" w:type="dxa"/>
            <w:vAlign w:val="center"/>
          </w:tcPr>
          <w:p>
            <w:pPr>
              <w:rPr>
                <w:rFonts w:ascii="宋体" w:cs="宋体"/>
                <w:kern w:val="0"/>
                <w:szCs w:val="21"/>
              </w:rPr>
            </w:pPr>
            <w:r>
              <w:rPr>
                <w:rFonts w:hint="eastAsia" w:ascii="宋体"/>
                <w:bCs/>
                <w:szCs w:val="21"/>
              </w:rPr>
              <w:t>按照投标品牌的市场影响力、知名度等情况进行打分，优秀得10分，良好得</w:t>
            </w:r>
            <w:r>
              <w:rPr>
                <w:rFonts w:ascii="宋体"/>
                <w:bCs/>
                <w:szCs w:val="21"/>
              </w:rPr>
              <w:t>8</w:t>
            </w:r>
            <w:r>
              <w:rPr>
                <w:rFonts w:hint="eastAsia" w:ascii="宋体"/>
                <w:bCs/>
                <w:szCs w:val="21"/>
              </w:rPr>
              <w:t>分，一般得</w:t>
            </w:r>
            <w:r>
              <w:rPr>
                <w:rFonts w:ascii="宋体"/>
                <w:bCs/>
                <w:szCs w:val="21"/>
              </w:rPr>
              <w:t>6</w:t>
            </w:r>
            <w:r>
              <w:rPr>
                <w:rFonts w:hint="eastAsia" w:ascii="宋体"/>
                <w:bCs/>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Merge w:val="restart"/>
            <w:vAlign w:val="center"/>
          </w:tcPr>
          <w:p>
            <w:pPr>
              <w:snapToGrid w:val="0"/>
              <w:rPr>
                <w:rFonts w:ascii="宋体" w:hAnsi="宋体" w:cs="宋体"/>
                <w:b/>
                <w:color w:val="000000"/>
                <w:kern w:val="0"/>
                <w:szCs w:val="21"/>
              </w:rPr>
            </w:pPr>
            <w:r>
              <w:rPr>
                <w:rFonts w:hint="eastAsia" w:ascii="宋体" w:hAnsi="宋体" w:cs="宋体"/>
                <w:b/>
                <w:color w:val="000000"/>
                <w:kern w:val="0"/>
                <w:szCs w:val="21"/>
              </w:rPr>
              <w:t>售后服务</w:t>
            </w:r>
          </w:p>
        </w:tc>
        <w:tc>
          <w:tcPr>
            <w:tcW w:w="534" w:type="dxa"/>
            <w:vAlign w:val="center"/>
          </w:tcPr>
          <w:p>
            <w:pPr>
              <w:jc w:val="center"/>
              <w:rPr>
                <w:rFonts w:ascii="宋体" w:hAnsi="宋体" w:cs="宋体"/>
                <w:kern w:val="0"/>
                <w:szCs w:val="21"/>
              </w:rPr>
            </w:pPr>
            <w:r>
              <w:rPr>
                <w:rFonts w:hint="eastAsia" w:ascii="宋体" w:hAnsi="宋体" w:cs="宋体"/>
                <w:kern w:val="0"/>
                <w:szCs w:val="21"/>
              </w:rPr>
              <w:t>5</w:t>
            </w:r>
          </w:p>
        </w:tc>
        <w:tc>
          <w:tcPr>
            <w:tcW w:w="6034" w:type="dxa"/>
            <w:vAlign w:val="center"/>
          </w:tcPr>
          <w:p>
            <w:pPr>
              <w:rPr>
                <w:rFonts w:ascii="宋体"/>
                <w:bCs/>
                <w:szCs w:val="21"/>
              </w:rPr>
            </w:pPr>
            <w:r>
              <w:rPr>
                <w:rFonts w:hint="eastAsia" w:ascii="宋体" w:hAnsi="宋体" w:cs="宋体"/>
                <w:kern w:val="0"/>
                <w:szCs w:val="21"/>
              </w:rPr>
              <w:t>免费质保期限不低于</w:t>
            </w:r>
            <w:r>
              <w:rPr>
                <w:rFonts w:ascii="宋体" w:hAnsi="宋体" w:cs="宋体"/>
                <w:kern w:val="0"/>
                <w:szCs w:val="21"/>
              </w:rPr>
              <w:t>2</w:t>
            </w:r>
            <w:r>
              <w:rPr>
                <w:rFonts w:hint="eastAsia" w:ascii="宋体" w:hAnsi="宋体" w:cs="宋体"/>
                <w:kern w:val="0"/>
                <w:szCs w:val="21"/>
              </w:rPr>
              <w:t>年，超出的每一年加</w:t>
            </w:r>
            <w:r>
              <w:rPr>
                <w:rFonts w:ascii="宋体" w:hAnsi="宋体" w:cs="宋体"/>
                <w:kern w:val="0"/>
                <w:szCs w:val="21"/>
              </w:rPr>
              <w:t>1</w:t>
            </w:r>
            <w:r>
              <w:rPr>
                <w:rFonts w:hint="eastAsia" w:ascii="宋体" w:hAnsi="宋体" w:cs="宋体"/>
                <w:kern w:val="0"/>
                <w:szCs w:val="21"/>
              </w:rPr>
              <w:t>分，最多加5分。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Merge w:val="continue"/>
            <w:vAlign w:val="center"/>
          </w:tcPr>
          <w:p>
            <w:pPr>
              <w:snapToGrid w:val="0"/>
              <w:rPr>
                <w:rFonts w:ascii="宋体" w:hAnsi="宋体" w:cs="宋体"/>
                <w:b/>
                <w:color w:val="000000"/>
                <w:kern w:val="0"/>
                <w:szCs w:val="21"/>
              </w:rPr>
            </w:pPr>
          </w:p>
        </w:tc>
        <w:tc>
          <w:tcPr>
            <w:tcW w:w="534" w:type="dxa"/>
            <w:vAlign w:val="center"/>
          </w:tcPr>
          <w:p>
            <w:pPr>
              <w:jc w:val="center"/>
              <w:rPr>
                <w:rFonts w:ascii="宋体" w:hAnsi="宋体" w:cs="宋体"/>
                <w:kern w:val="0"/>
                <w:szCs w:val="21"/>
              </w:rPr>
            </w:pPr>
            <w:r>
              <w:rPr>
                <w:rFonts w:hint="eastAsia" w:ascii="宋体" w:hAnsi="宋体" w:cs="宋体"/>
                <w:kern w:val="0"/>
                <w:szCs w:val="21"/>
              </w:rPr>
              <w:t>5</w:t>
            </w:r>
          </w:p>
        </w:tc>
        <w:tc>
          <w:tcPr>
            <w:tcW w:w="6034" w:type="dxa"/>
            <w:vAlign w:val="center"/>
          </w:tcPr>
          <w:p>
            <w:pPr>
              <w:rPr>
                <w:rFonts w:ascii="宋体"/>
                <w:bCs/>
                <w:szCs w:val="21"/>
              </w:rPr>
            </w:pPr>
            <w:r>
              <w:rPr>
                <w:rFonts w:hint="eastAsia" w:ascii="宋体" w:hAnsi="宋体"/>
                <w:bCs/>
                <w:szCs w:val="21"/>
              </w:rPr>
              <w:t>根据</w:t>
            </w:r>
            <w:r>
              <w:rPr>
                <w:rFonts w:hint="eastAsia" w:ascii="宋体" w:hAnsi="宋体"/>
                <w:szCs w:val="21"/>
              </w:rPr>
              <w:t>投标人质保期内的售后服务承诺、</w:t>
            </w:r>
            <w:r>
              <w:rPr>
                <w:rFonts w:hint="eastAsia" w:ascii="宋体" w:hAnsi="宋体"/>
                <w:bCs/>
                <w:szCs w:val="21"/>
              </w:rPr>
              <w:t>培训计划、</w:t>
            </w:r>
            <w:r>
              <w:rPr>
                <w:rFonts w:hint="eastAsia" w:ascii="宋体" w:hAnsi="宋体"/>
                <w:szCs w:val="21"/>
              </w:rPr>
              <w:t>质保期满后的售后服务方案及服务价格等方面进行综合评价</w:t>
            </w:r>
            <w:r>
              <w:rPr>
                <w:rFonts w:hint="eastAsia" w:ascii="宋体" w:hAnsi="宋体"/>
                <w:bCs/>
                <w:szCs w:val="21"/>
              </w:rPr>
              <w:t>，</w:t>
            </w:r>
            <w:r>
              <w:rPr>
                <w:rFonts w:hint="eastAsia" w:ascii="宋体" w:hAnsi="宋体" w:cs="宋体"/>
                <w:kern w:val="0"/>
                <w:szCs w:val="21"/>
              </w:rPr>
              <w:t>优秀得</w:t>
            </w:r>
            <w:r>
              <w:rPr>
                <w:rFonts w:ascii="宋体" w:hAnsi="宋体" w:cs="宋体"/>
                <w:kern w:val="0"/>
                <w:szCs w:val="21"/>
              </w:rPr>
              <w:t>5</w:t>
            </w:r>
            <w:r>
              <w:rPr>
                <w:rFonts w:hint="eastAsia" w:ascii="宋体" w:hAnsi="宋体" w:cs="宋体"/>
                <w:kern w:val="0"/>
                <w:szCs w:val="21"/>
              </w:rPr>
              <w:t>分，良好得</w:t>
            </w:r>
            <w:r>
              <w:rPr>
                <w:rFonts w:ascii="宋体" w:hAnsi="宋体" w:cs="宋体"/>
                <w:kern w:val="0"/>
                <w:szCs w:val="21"/>
              </w:rPr>
              <w:t>3</w:t>
            </w:r>
            <w:r>
              <w:rPr>
                <w:rFonts w:hint="eastAsia" w:ascii="宋体" w:hAnsi="宋体" w:cs="宋体"/>
                <w:kern w:val="0"/>
                <w:szCs w:val="21"/>
              </w:rPr>
              <w:t>-4分，一般得2-3分。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53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603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spacing w:line="440" w:lineRule="exact"/>
        <w:rPr>
          <w:color w:val="000000"/>
          <w:sz w:val="24"/>
          <w:szCs w:val="24"/>
        </w:rPr>
      </w:pP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color w:val="auto"/>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17</w:t>
      </w:r>
      <w:r>
        <w:rPr>
          <w:rFonts w:hint="eastAsia" w:ascii="宋体" w:hAnsi="宋体" w:cs="宋体"/>
          <w:color w:val="auto"/>
          <w:kern w:val="0"/>
          <w:sz w:val="24"/>
        </w:rPr>
        <w:t>）经</w:t>
      </w:r>
      <w:r>
        <w:rPr>
          <w:rFonts w:ascii="宋体" w:hAnsi="宋体" w:cs="宋体"/>
          <w:color w:val="auto"/>
          <w:kern w:val="0"/>
          <w:sz w:val="24"/>
        </w:rPr>
        <w:t>2/3</w:t>
      </w:r>
      <w:r>
        <w:rPr>
          <w:rFonts w:hint="eastAsia" w:ascii="宋体" w:hAnsi="宋体" w:cs="宋体"/>
          <w:color w:val="auto"/>
          <w:kern w:val="0"/>
          <w:sz w:val="24"/>
        </w:rPr>
        <w:t>以上评委认定投标品牌档次低于采购人推荐品牌档次的；</w:t>
      </w:r>
    </w:p>
    <w:p>
      <w:pPr>
        <w:widowControl/>
        <w:spacing w:line="440" w:lineRule="exact"/>
        <w:ind w:firstLine="561"/>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）加</w:t>
      </w:r>
      <w:r>
        <w:rPr>
          <w:rFonts w:hint="eastAsia" w:ascii="宋体" w:hAnsi="宋体" w:cs="宋体"/>
          <w:color w:val="000000"/>
          <w:sz w:val="24"/>
        </w:rPr>
        <w:t>“★”的技术指标为负偏离的或有5项未加“★”的技术指标为负偏离的；</w:t>
      </w:r>
    </w:p>
    <w:p>
      <w:pPr>
        <w:widowControl/>
        <w:spacing w:line="440" w:lineRule="exact"/>
        <w:ind w:firstLine="561"/>
        <w:jc w:val="left"/>
        <w:rPr>
          <w:rFonts w:ascii="宋体" w:cs="宋体"/>
          <w:color w:val="000000"/>
          <w:sz w:val="24"/>
        </w:rPr>
      </w:pPr>
      <w:r>
        <w:rPr>
          <w:rFonts w:hint="eastAsia" w:ascii="宋体" w:hAnsi="宋体" w:cs="宋体"/>
          <w:color w:val="000000"/>
          <w:sz w:val="24"/>
        </w:rPr>
        <w:t>（19）技术得分低于该项目分值</w:t>
      </w:r>
      <w:r>
        <w:rPr>
          <w:rFonts w:ascii="宋体" w:hAnsi="宋体" w:cs="宋体"/>
          <w:color w:val="000000"/>
          <w:sz w:val="24"/>
        </w:rPr>
        <w:t>60%</w:t>
      </w:r>
      <w:r>
        <w:rPr>
          <w:rFonts w:hint="eastAsia" w:ascii="宋体" w:hAnsi="宋体" w:cs="宋体"/>
          <w:color w:val="000000"/>
          <w:sz w:val="24"/>
        </w:rPr>
        <w:t>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w:t>
      </w:r>
      <w:r>
        <w:rPr>
          <w:rFonts w:hint="eastAsia" w:ascii="宋体" w:hAnsi="宋体"/>
          <w:color w:val="auto"/>
          <w:sz w:val="24"/>
          <w:szCs w:val="24"/>
        </w:rPr>
        <w:t>提交金额为中标总价</w:t>
      </w:r>
      <w:r>
        <w:rPr>
          <w:color w:val="auto"/>
          <w:sz w:val="24"/>
          <w:szCs w:val="24"/>
        </w:rPr>
        <w:t>2%的履约保证金</w:t>
      </w:r>
      <w:r>
        <w:rPr>
          <w:rFonts w:hint="eastAsia" w:ascii="宋体" w:hAnsi="宋体"/>
          <w:color w:val="auto"/>
          <w:sz w:val="24"/>
          <w:szCs w:val="24"/>
        </w:rPr>
        <w:t>。已交</w:t>
      </w:r>
      <w:r>
        <w:rPr>
          <w:rFonts w:hint="eastAsia" w:ascii="宋体" w:hAnsi="宋体"/>
          <w:sz w:val="24"/>
          <w:szCs w:val="24"/>
        </w:rPr>
        <w:t>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技术联系人：顾老师，联系电话：18816228837；</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auto"/>
          <w:kern w:val="0"/>
          <w:sz w:val="24"/>
          <w:szCs w:val="24"/>
          <w:u w:val="none"/>
        </w:rPr>
        <w:t>zbb@hyit.edu.cn</w:t>
      </w:r>
      <w:r>
        <w:rPr>
          <w:rFonts w:hint="eastAsia" w:ascii="宋体" w:hAnsi="宋体" w:cs="宋体"/>
          <w:color w:val="000000"/>
          <w:kern w:val="0"/>
          <w:sz w:val="24"/>
          <w:szCs w:val="24"/>
        </w:rPr>
        <w:t>；</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auto"/>
          <w:sz w:val="24"/>
        </w:rPr>
      </w:pPr>
    </w:p>
    <w:p>
      <w:pPr>
        <w:widowControl/>
        <w:spacing w:line="440" w:lineRule="exact"/>
        <w:ind w:firstLine="4995" w:firstLineChars="1850"/>
        <w:rPr>
          <w:color w:val="auto"/>
          <w:spacing w:val="15"/>
          <w:kern w:val="0"/>
          <w:sz w:val="24"/>
        </w:rPr>
      </w:pPr>
      <w:r>
        <w:rPr>
          <w:rFonts w:hint="eastAsia"/>
          <w:color w:val="auto"/>
          <w:spacing w:val="15"/>
          <w:kern w:val="0"/>
          <w:sz w:val="24"/>
        </w:rPr>
        <w:t>淮阴工学院招投标办公室</w:t>
      </w:r>
    </w:p>
    <w:p>
      <w:pPr>
        <w:widowControl/>
        <w:spacing w:line="440" w:lineRule="exact"/>
        <w:ind w:firstLine="5535" w:firstLineChars="2050"/>
        <w:rPr>
          <w:color w:val="auto"/>
          <w:spacing w:val="15"/>
          <w:kern w:val="0"/>
          <w:sz w:val="24"/>
        </w:rPr>
      </w:pPr>
      <w:r>
        <w:rPr>
          <w:color w:val="auto"/>
          <w:spacing w:val="15"/>
          <w:kern w:val="0"/>
          <w:sz w:val="24"/>
        </w:rPr>
        <w:t>2019</w:t>
      </w:r>
      <w:r>
        <w:rPr>
          <w:rFonts w:hint="eastAsia"/>
          <w:color w:val="auto"/>
          <w:spacing w:val="15"/>
          <w:kern w:val="0"/>
          <w:sz w:val="24"/>
        </w:rPr>
        <w:t>年</w:t>
      </w:r>
      <w:r>
        <w:rPr>
          <w:color w:val="auto"/>
          <w:spacing w:val="15"/>
          <w:kern w:val="0"/>
          <w:sz w:val="24"/>
        </w:rPr>
        <w:t>5</w:t>
      </w:r>
      <w:r>
        <w:rPr>
          <w:rFonts w:hint="eastAsia"/>
          <w:color w:val="auto"/>
          <w:spacing w:val="15"/>
          <w:kern w:val="0"/>
          <w:sz w:val="24"/>
        </w:rPr>
        <w:t>月</w:t>
      </w:r>
      <w:r>
        <w:rPr>
          <w:rFonts w:hint="eastAsia"/>
          <w:color w:val="auto"/>
          <w:spacing w:val="15"/>
          <w:kern w:val="0"/>
          <w:sz w:val="24"/>
          <w:lang w:val="en-US" w:eastAsia="zh-CN"/>
        </w:rPr>
        <w:t>28</w:t>
      </w:r>
      <w:r>
        <w:rPr>
          <w:rFonts w:hint="eastAsia"/>
          <w:color w:val="auto"/>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2"/>
        <w:tblW w:w="85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966"/>
        <w:gridCol w:w="2567"/>
        <w:gridCol w:w="1433"/>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7" w:type="dxa"/>
            <w:vAlign w:val="center"/>
          </w:tcPr>
          <w:p>
            <w:pPr>
              <w:spacing w:line="440" w:lineRule="exact"/>
              <w:jc w:val="center"/>
              <w:rPr>
                <w:sz w:val="24"/>
                <w:szCs w:val="24"/>
              </w:rPr>
            </w:pPr>
            <w:r>
              <w:rPr>
                <w:sz w:val="24"/>
                <w:szCs w:val="24"/>
              </w:rPr>
              <w:t>标段号</w:t>
            </w:r>
          </w:p>
        </w:tc>
        <w:tc>
          <w:tcPr>
            <w:tcW w:w="966" w:type="dxa"/>
            <w:vAlign w:val="center"/>
          </w:tcPr>
          <w:p>
            <w:pPr>
              <w:spacing w:line="440" w:lineRule="exact"/>
              <w:jc w:val="center"/>
              <w:rPr>
                <w:sz w:val="24"/>
                <w:szCs w:val="24"/>
              </w:rPr>
            </w:pPr>
            <w:r>
              <w:rPr>
                <w:sz w:val="24"/>
                <w:szCs w:val="24"/>
              </w:rPr>
              <w:t>序号</w:t>
            </w:r>
          </w:p>
        </w:tc>
        <w:tc>
          <w:tcPr>
            <w:tcW w:w="2567" w:type="dxa"/>
            <w:vAlign w:val="center"/>
          </w:tcPr>
          <w:p>
            <w:pPr>
              <w:spacing w:line="440" w:lineRule="exact"/>
              <w:jc w:val="center"/>
              <w:rPr>
                <w:sz w:val="24"/>
                <w:szCs w:val="24"/>
              </w:rPr>
            </w:pPr>
            <w:r>
              <w:rPr>
                <w:sz w:val="24"/>
                <w:szCs w:val="24"/>
              </w:rPr>
              <w:t>设备名称</w:t>
            </w:r>
          </w:p>
        </w:tc>
        <w:tc>
          <w:tcPr>
            <w:tcW w:w="1433" w:type="dxa"/>
            <w:vAlign w:val="center"/>
          </w:tcPr>
          <w:p>
            <w:pPr>
              <w:spacing w:line="440" w:lineRule="exact"/>
              <w:jc w:val="center"/>
              <w:rPr>
                <w:sz w:val="24"/>
                <w:szCs w:val="24"/>
              </w:rPr>
            </w:pPr>
            <w:r>
              <w:rPr>
                <w:sz w:val="24"/>
                <w:szCs w:val="24"/>
              </w:rPr>
              <w:t>台(套)数</w:t>
            </w:r>
          </w:p>
        </w:tc>
        <w:tc>
          <w:tcPr>
            <w:tcW w:w="2200" w:type="dxa"/>
            <w:vAlign w:val="center"/>
          </w:tcPr>
          <w:p>
            <w:pPr>
              <w:spacing w:line="440" w:lineRule="exact"/>
              <w:jc w:val="center"/>
              <w:rPr>
                <w:sz w:val="24"/>
                <w:szCs w:val="24"/>
              </w:rPr>
            </w:pPr>
            <w:r>
              <w:rPr>
                <w:rFonts w:hint="eastAsia"/>
                <w:sz w:val="24"/>
                <w:szCs w:val="24"/>
              </w:rPr>
              <w:t>预算（万元）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337" w:type="dxa"/>
            <w:vMerge w:val="restart"/>
            <w:vAlign w:val="center"/>
          </w:tcPr>
          <w:p>
            <w:pPr>
              <w:spacing w:line="440" w:lineRule="exact"/>
              <w:jc w:val="center"/>
              <w:rPr>
                <w:sz w:val="24"/>
                <w:szCs w:val="24"/>
              </w:rPr>
            </w:pPr>
            <w:r>
              <w:rPr>
                <w:rFonts w:hint="eastAsia"/>
                <w:sz w:val="24"/>
                <w:szCs w:val="24"/>
              </w:rPr>
              <w:t>标段一</w:t>
            </w:r>
          </w:p>
        </w:tc>
        <w:tc>
          <w:tcPr>
            <w:tcW w:w="966" w:type="dxa"/>
            <w:vAlign w:val="center"/>
          </w:tcPr>
          <w:p>
            <w:pPr>
              <w:wordWrap w:val="0"/>
              <w:ind w:right="420"/>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p>
        </w:tc>
        <w:tc>
          <w:tcPr>
            <w:tcW w:w="2567" w:type="dxa"/>
          </w:tcPr>
          <w:p>
            <w:pPr>
              <w:jc w:val="center"/>
              <w:rPr>
                <w:rFonts w:cs="宋体" w:asciiTheme="minorEastAsia" w:hAnsiTheme="minorEastAsia" w:eastAsiaTheme="minorEastAsia"/>
                <w:kern w:val="0"/>
                <w:szCs w:val="21"/>
              </w:rPr>
            </w:pPr>
            <w:r>
              <w:rPr>
                <w:rFonts w:hint="eastAsia" w:cs="宋体" w:asciiTheme="minorEastAsia" w:hAnsiTheme="minorEastAsia" w:eastAsiaTheme="minorEastAsia"/>
                <w:szCs w:val="21"/>
              </w:rPr>
              <w:t>可调量程移液器</w:t>
            </w:r>
          </w:p>
        </w:tc>
        <w:tc>
          <w:tcPr>
            <w:tcW w:w="1433" w:type="dxa"/>
            <w:vAlign w:val="center"/>
          </w:tcPr>
          <w:p>
            <w:pPr>
              <w:jc w:val="center"/>
              <w:rPr>
                <w:rFonts w:asciiTheme="minorEastAsia" w:hAnsiTheme="minorEastAsia" w:eastAsiaTheme="minorEastAsia"/>
                <w:kern w:val="0"/>
                <w:szCs w:val="21"/>
              </w:rPr>
            </w:pPr>
            <w:r>
              <w:rPr>
                <w:rFonts w:asciiTheme="minorEastAsia" w:hAnsiTheme="minorEastAsia" w:eastAsiaTheme="minorEastAsia"/>
                <w:szCs w:val="21"/>
              </w:rPr>
              <w:t>5</w:t>
            </w:r>
          </w:p>
        </w:tc>
        <w:tc>
          <w:tcPr>
            <w:tcW w:w="2200" w:type="dxa"/>
            <w:vMerge w:val="restart"/>
            <w:vAlign w:val="center"/>
          </w:tcPr>
          <w:p>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337" w:type="dxa"/>
            <w:vMerge w:val="continue"/>
            <w:vAlign w:val="center"/>
          </w:tcPr>
          <w:p>
            <w:pPr>
              <w:spacing w:line="440" w:lineRule="exact"/>
              <w:jc w:val="center"/>
              <w:rPr>
                <w:sz w:val="24"/>
                <w:szCs w:val="24"/>
              </w:rPr>
            </w:pPr>
          </w:p>
        </w:tc>
        <w:tc>
          <w:tcPr>
            <w:tcW w:w="966" w:type="dxa"/>
            <w:vAlign w:val="center"/>
          </w:tcPr>
          <w:p>
            <w:pPr>
              <w:wordWrap w:val="0"/>
              <w:ind w:right="420"/>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2</w:t>
            </w:r>
          </w:p>
        </w:tc>
        <w:tc>
          <w:tcPr>
            <w:tcW w:w="2567" w:type="dxa"/>
          </w:tcPr>
          <w:p>
            <w:pPr>
              <w:jc w:val="center"/>
              <w:rPr>
                <w:rFonts w:cs="宋体" w:asciiTheme="minorEastAsia" w:hAnsiTheme="minorEastAsia" w:eastAsiaTheme="minorEastAsia"/>
                <w:kern w:val="0"/>
                <w:szCs w:val="21"/>
              </w:rPr>
            </w:pPr>
            <w:r>
              <w:rPr>
                <w:rFonts w:hint="eastAsia" w:cs="宋体" w:asciiTheme="minorEastAsia" w:hAnsiTheme="minorEastAsia" w:eastAsiaTheme="minorEastAsia"/>
                <w:szCs w:val="21"/>
              </w:rPr>
              <w:t>PCR仪</w:t>
            </w:r>
          </w:p>
        </w:tc>
        <w:tc>
          <w:tcPr>
            <w:tcW w:w="1433" w:type="dxa"/>
            <w:vAlign w:val="center"/>
          </w:tcPr>
          <w:p>
            <w:pPr>
              <w:jc w:val="center"/>
              <w:rPr>
                <w:rFonts w:asciiTheme="minorEastAsia" w:hAnsiTheme="minorEastAsia" w:eastAsiaTheme="minorEastAsia"/>
                <w:color w:val="000000"/>
                <w:kern w:val="0"/>
                <w:szCs w:val="21"/>
              </w:rPr>
            </w:pPr>
            <w:r>
              <w:rPr>
                <w:rFonts w:asciiTheme="minorEastAsia" w:hAnsiTheme="minorEastAsia" w:eastAsiaTheme="minorEastAsia"/>
                <w:color w:val="000000"/>
                <w:szCs w:val="21"/>
              </w:rPr>
              <w:t>2</w:t>
            </w:r>
          </w:p>
        </w:tc>
        <w:tc>
          <w:tcPr>
            <w:tcW w:w="2200" w:type="dxa"/>
            <w:vMerge w:val="continue"/>
            <w:vAlign w:val="center"/>
          </w:tcPr>
          <w:p>
            <w:pPr>
              <w:jc w:val="center"/>
              <w:rPr>
                <w:rFonts w:asciiTheme="minorEastAsia" w:hAnsiTheme="minorEastAsia" w:eastAsiaTheme="minorEastAsia"/>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337" w:type="dxa"/>
            <w:vMerge w:val="continue"/>
            <w:vAlign w:val="center"/>
          </w:tcPr>
          <w:p>
            <w:pPr>
              <w:spacing w:line="440" w:lineRule="exact"/>
              <w:jc w:val="center"/>
              <w:rPr>
                <w:sz w:val="24"/>
                <w:szCs w:val="24"/>
              </w:rPr>
            </w:pPr>
          </w:p>
        </w:tc>
        <w:tc>
          <w:tcPr>
            <w:tcW w:w="966" w:type="dxa"/>
            <w:vAlign w:val="center"/>
          </w:tcPr>
          <w:p>
            <w:pPr>
              <w:wordWrap w:val="0"/>
              <w:ind w:right="420"/>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3</w:t>
            </w:r>
          </w:p>
        </w:tc>
        <w:tc>
          <w:tcPr>
            <w:tcW w:w="2567" w:type="dxa"/>
          </w:tcPr>
          <w:p>
            <w:pPr>
              <w:jc w:val="center"/>
              <w:rPr>
                <w:rFonts w:cs="宋体" w:asciiTheme="minorEastAsia" w:hAnsiTheme="minorEastAsia" w:eastAsiaTheme="minorEastAsia"/>
                <w:kern w:val="0"/>
                <w:szCs w:val="21"/>
              </w:rPr>
            </w:pPr>
            <w:r>
              <w:rPr>
                <w:rFonts w:hint="eastAsia" w:cs="宋体" w:asciiTheme="minorEastAsia" w:hAnsiTheme="minorEastAsia" w:eastAsiaTheme="minorEastAsia"/>
                <w:szCs w:val="21"/>
              </w:rPr>
              <w:t>核酸电泳</w:t>
            </w:r>
          </w:p>
        </w:tc>
        <w:tc>
          <w:tcPr>
            <w:tcW w:w="1433" w:type="dxa"/>
            <w:vAlign w:val="center"/>
          </w:tcPr>
          <w:p>
            <w:pPr>
              <w:jc w:val="center"/>
              <w:rPr>
                <w:rFonts w:asciiTheme="minorEastAsia" w:hAnsiTheme="minorEastAsia" w:eastAsiaTheme="minorEastAsia"/>
                <w:color w:val="000000"/>
                <w:kern w:val="0"/>
                <w:szCs w:val="21"/>
              </w:rPr>
            </w:pPr>
            <w:r>
              <w:rPr>
                <w:rFonts w:asciiTheme="minorEastAsia" w:hAnsiTheme="minorEastAsia" w:eastAsiaTheme="minorEastAsia"/>
                <w:color w:val="000000"/>
                <w:szCs w:val="21"/>
              </w:rPr>
              <w:t>2(套)</w:t>
            </w:r>
          </w:p>
        </w:tc>
        <w:tc>
          <w:tcPr>
            <w:tcW w:w="2200" w:type="dxa"/>
            <w:vMerge w:val="continue"/>
            <w:vAlign w:val="center"/>
          </w:tcPr>
          <w:p>
            <w:pPr>
              <w:jc w:val="center"/>
              <w:rPr>
                <w:rFonts w:asciiTheme="minorEastAsia" w:hAnsiTheme="minorEastAsia" w:eastAsiaTheme="minorEastAsia"/>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337" w:type="dxa"/>
            <w:vMerge w:val="continue"/>
            <w:vAlign w:val="center"/>
          </w:tcPr>
          <w:p>
            <w:pPr>
              <w:spacing w:line="440" w:lineRule="exact"/>
              <w:jc w:val="center"/>
              <w:rPr>
                <w:sz w:val="24"/>
                <w:szCs w:val="24"/>
              </w:rPr>
            </w:pPr>
          </w:p>
        </w:tc>
        <w:tc>
          <w:tcPr>
            <w:tcW w:w="966" w:type="dxa"/>
            <w:vAlign w:val="center"/>
          </w:tcPr>
          <w:p>
            <w:pPr>
              <w:wordWrap w:val="0"/>
              <w:ind w:right="420"/>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4</w:t>
            </w:r>
          </w:p>
        </w:tc>
        <w:tc>
          <w:tcPr>
            <w:tcW w:w="2567" w:type="dxa"/>
          </w:tcPr>
          <w:p>
            <w:pPr>
              <w:jc w:val="center"/>
              <w:rPr>
                <w:rFonts w:cs="宋体" w:asciiTheme="minorEastAsia" w:hAnsiTheme="minorEastAsia" w:eastAsiaTheme="minorEastAsia"/>
                <w:kern w:val="0"/>
                <w:szCs w:val="21"/>
              </w:rPr>
            </w:pPr>
            <w:r>
              <w:rPr>
                <w:rFonts w:hint="eastAsia" w:cs="宋体" w:asciiTheme="minorEastAsia" w:hAnsiTheme="minorEastAsia" w:eastAsiaTheme="minorEastAsia"/>
                <w:szCs w:val="21"/>
              </w:rPr>
              <w:t>蛋白电泳</w:t>
            </w:r>
          </w:p>
        </w:tc>
        <w:tc>
          <w:tcPr>
            <w:tcW w:w="1433" w:type="dxa"/>
            <w:vAlign w:val="center"/>
          </w:tcPr>
          <w:p>
            <w:pPr>
              <w:jc w:val="center"/>
              <w:rPr>
                <w:rFonts w:asciiTheme="minorEastAsia" w:hAnsiTheme="minorEastAsia" w:eastAsiaTheme="minorEastAsia"/>
                <w:color w:val="000000"/>
                <w:kern w:val="0"/>
                <w:szCs w:val="21"/>
              </w:rPr>
            </w:pPr>
            <w:r>
              <w:rPr>
                <w:rFonts w:asciiTheme="minorEastAsia" w:hAnsiTheme="minorEastAsia" w:eastAsiaTheme="minorEastAsia"/>
                <w:color w:val="000000"/>
                <w:szCs w:val="21"/>
              </w:rPr>
              <w:t>2(套)</w:t>
            </w:r>
          </w:p>
        </w:tc>
        <w:tc>
          <w:tcPr>
            <w:tcW w:w="2200" w:type="dxa"/>
            <w:vMerge w:val="continue"/>
            <w:vAlign w:val="center"/>
          </w:tcPr>
          <w:p>
            <w:pPr>
              <w:jc w:val="center"/>
              <w:rPr>
                <w:rFonts w:asciiTheme="minorEastAsia" w:hAnsiTheme="minorEastAsia" w:eastAsiaTheme="minorEastAsia"/>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337" w:type="dxa"/>
            <w:vMerge w:val="continue"/>
            <w:vAlign w:val="center"/>
          </w:tcPr>
          <w:p>
            <w:pPr>
              <w:spacing w:line="440" w:lineRule="exact"/>
              <w:jc w:val="center"/>
              <w:rPr>
                <w:sz w:val="24"/>
                <w:szCs w:val="24"/>
              </w:rPr>
            </w:pPr>
          </w:p>
        </w:tc>
        <w:tc>
          <w:tcPr>
            <w:tcW w:w="966" w:type="dxa"/>
            <w:vAlign w:val="center"/>
          </w:tcPr>
          <w:p>
            <w:pPr>
              <w:wordWrap w:val="0"/>
              <w:ind w:right="420"/>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5</w:t>
            </w:r>
          </w:p>
        </w:tc>
        <w:tc>
          <w:tcPr>
            <w:tcW w:w="2567" w:type="dxa"/>
          </w:tcPr>
          <w:p>
            <w:pPr>
              <w:jc w:val="center"/>
              <w:rPr>
                <w:rFonts w:cs="宋体" w:asciiTheme="minorEastAsia" w:hAnsiTheme="minorEastAsia" w:eastAsiaTheme="minorEastAsia"/>
                <w:kern w:val="0"/>
                <w:szCs w:val="21"/>
              </w:rPr>
            </w:pPr>
            <w:r>
              <w:rPr>
                <w:rFonts w:hint="eastAsia" w:cs="宋体" w:asciiTheme="minorEastAsia" w:hAnsiTheme="minorEastAsia" w:eastAsiaTheme="minorEastAsia"/>
                <w:szCs w:val="21"/>
              </w:rPr>
              <w:t>全自动灭菌锅</w:t>
            </w:r>
          </w:p>
        </w:tc>
        <w:tc>
          <w:tcPr>
            <w:tcW w:w="1433" w:type="dxa"/>
            <w:vAlign w:val="center"/>
          </w:tcPr>
          <w:p>
            <w:pPr>
              <w:jc w:val="center"/>
              <w:rPr>
                <w:rFonts w:asciiTheme="minorEastAsia" w:hAnsiTheme="minorEastAsia" w:eastAsiaTheme="minorEastAsia"/>
                <w:color w:val="000000"/>
                <w:kern w:val="0"/>
                <w:szCs w:val="21"/>
              </w:rPr>
            </w:pPr>
            <w:r>
              <w:rPr>
                <w:rFonts w:asciiTheme="minorEastAsia" w:hAnsiTheme="minorEastAsia" w:eastAsiaTheme="minorEastAsia"/>
                <w:color w:val="000000"/>
                <w:szCs w:val="21"/>
              </w:rPr>
              <w:t>2</w:t>
            </w:r>
          </w:p>
        </w:tc>
        <w:tc>
          <w:tcPr>
            <w:tcW w:w="2200" w:type="dxa"/>
            <w:vMerge w:val="continue"/>
            <w:vAlign w:val="center"/>
          </w:tcPr>
          <w:p>
            <w:pPr>
              <w:jc w:val="center"/>
              <w:rPr>
                <w:rFonts w:asciiTheme="minorEastAsia" w:hAnsiTheme="minorEastAsia" w:eastAsiaTheme="minorEastAsia"/>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337" w:type="dxa"/>
            <w:vMerge w:val="continue"/>
            <w:vAlign w:val="center"/>
          </w:tcPr>
          <w:p>
            <w:pPr>
              <w:spacing w:line="440" w:lineRule="exact"/>
              <w:jc w:val="center"/>
              <w:rPr>
                <w:sz w:val="24"/>
                <w:szCs w:val="24"/>
              </w:rPr>
            </w:pPr>
          </w:p>
        </w:tc>
        <w:tc>
          <w:tcPr>
            <w:tcW w:w="966" w:type="dxa"/>
            <w:vAlign w:val="center"/>
          </w:tcPr>
          <w:p>
            <w:pPr>
              <w:wordWrap w:val="0"/>
              <w:ind w:right="420"/>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6</w:t>
            </w:r>
          </w:p>
        </w:tc>
        <w:tc>
          <w:tcPr>
            <w:tcW w:w="2567" w:type="dxa"/>
          </w:tcPr>
          <w:p>
            <w:pPr>
              <w:jc w:val="center"/>
              <w:rPr>
                <w:rFonts w:cs="宋体" w:asciiTheme="minorEastAsia" w:hAnsiTheme="minorEastAsia" w:eastAsiaTheme="minorEastAsia"/>
                <w:szCs w:val="21"/>
              </w:rPr>
            </w:pPr>
            <w:r>
              <w:rPr>
                <w:rFonts w:hint="eastAsia" w:asciiTheme="minorEastAsia" w:hAnsiTheme="minorEastAsia" w:eastAsiaTheme="minorEastAsia"/>
                <w:szCs w:val="21"/>
              </w:rPr>
              <w:t>TC20细胞计数仪</w:t>
            </w:r>
          </w:p>
        </w:tc>
        <w:tc>
          <w:tcPr>
            <w:tcW w:w="1433" w:type="dxa"/>
            <w:vAlign w:val="center"/>
          </w:tcPr>
          <w:p>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1</w:t>
            </w:r>
          </w:p>
        </w:tc>
        <w:tc>
          <w:tcPr>
            <w:tcW w:w="2200" w:type="dxa"/>
            <w:vMerge w:val="continue"/>
            <w:vAlign w:val="center"/>
          </w:tcPr>
          <w:p>
            <w:pPr>
              <w:jc w:val="center"/>
              <w:rPr>
                <w:rFonts w:asciiTheme="minorEastAsia" w:hAnsiTheme="minorEastAsia" w:eastAsia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337" w:type="dxa"/>
            <w:vMerge w:val="continue"/>
            <w:vAlign w:val="center"/>
          </w:tcPr>
          <w:p>
            <w:pPr>
              <w:spacing w:line="440" w:lineRule="exact"/>
              <w:jc w:val="center"/>
              <w:rPr>
                <w:sz w:val="24"/>
                <w:szCs w:val="24"/>
              </w:rPr>
            </w:pPr>
          </w:p>
        </w:tc>
        <w:tc>
          <w:tcPr>
            <w:tcW w:w="966" w:type="dxa"/>
            <w:vAlign w:val="center"/>
          </w:tcPr>
          <w:p>
            <w:pPr>
              <w:wordWrap w:val="0"/>
              <w:ind w:right="420"/>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7</w:t>
            </w:r>
          </w:p>
        </w:tc>
        <w:tc>
          <w:tcPr>
            <w:tcW w:w="2567" w:type="dxa"/>
          </w:tcPr>
          <w:p>
            <w:pPr>
              <w:jc w:val="center"/>
              <w:rPr>
                <w:rFonts w:asciiTheme="minorEastAsia" w:hAnsiTheme="minorEastAsia" w:eastAsiaTheme="minorEastAsia"/>
                <w:szCs w:val="21"/>
              </w:rPr>
            </w:pPr>
            <w:r>
              <w:rPr>
                <w:rFonts w:hint="eastAsia" w:asciiTheme="minorEastAsia" w:hAnsiTheme="minorEastAsia" w:eastAsiaTheme="minorEastAsia"/>
                <w:szCs w:val="21"/>
              </w:rPr>
              <w:t>旋涡混合仪</w:t>
            </w:r>
          </w:p>
        </w:tc>
        <w:tc>
          <w:tcPr>
            <w:tcW w:w="1433" w:type="dxa"/>
            <w:vAlign w:val="center"/>
          </w:tcPr>
          <w:p>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4</w:t>
            </w:r>
          </w:p>
        </w:tc>
        <w:tc>
          <w:tcPr>
            <w:tcW w:w="2200" w:type="dxa"/>
            <w:vMerge w:val="continue"/>
            <w:vAlign w:val="center"/>
          </w:tcPr>
          <w:p>
            <w:pPr>
              <w:jc w:val="center"/>
              <w:rPr>
                <w:rFonts w:asciiTheme="minorEastAsia" w:hAnsiTheme="minorEastAsia" w:eastAsia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37" w:type="dxa"/>
            <w:vMerge w:val="restart"/>
            <w:vAlign w:val="center"/>
          </w:tcPr>
          <w:p>
            <w:pPr>
              <w:spacing w:line="440" w:lineRule="exact"/>
              <w:jc w:val="center"/>
              <w:rPr>
                <w:sz w:val="24"/>
                <w:szCs w:val="24"/>
              </w:rPr>
            </w:pPr>
            <w:r>
              <w:rPr>
                <w:rFonts w:hint="eastAsia"/>
                <w:sz w:val="24"/>
                <w:szCs w:val="24"/>
              </w:rPr>
              <w:t>标段二</w:t>
            </w:r>
          </w:p>
        </w:tc>
        <w:tc>
          <w:tcPr>
            <w:tcW w:w="966" w:type="dxa"/>
            <w:vAlign w:val="center"/>
          </w:tcPr>
          <w:p>
            <w:pPr>
              <w:widowControl/>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9</w:t>
            </w:r>
          </w:p>
        </w:tc>
        <w:tc>
          <w:tcPr>
            <w:tcW w:w="2567" w:type="dxa"/>
            <w:vAlign w:val="center"/>
          </w:tcPr>
          <w:p>
            <w:pPr>
              <w:widowControl/>
              <w:jc w:val="center"/>
              <w:rPr>
                <w:rFonts w:asciiTheme="minorEastAsia" w:hAnsiTheme="minorEastAsia" w:eastAsiaTheme="minorEastAsia"/>
                <w:kern w:val="0"/>
                <w:szCs w:val="21"/>
              </w:rPr>
            </w:pPr>
            <w:r>
              <w:rPr>
                <w:rFonts w:hint="eastAsia" w:cs="宋体" w:asciiTheme="minorEastAsia" w:hAnsiTheme="minorEastAsia" w:eastAsiaTheme="minorEastAsia"/>
                <w:color w:val="000000"/>
                <w:szCs w:val="21"/>
              </w:rPr>
              <w:t>贝壳类养殖实验设备系统</w:t>
            </w:r>
          </w:p>
        </w:tc>
        <w:tc>
          <w:tcPr>
            <w:tcW w:w="1433" w:type="dxa"/>
            <w:vAlign w:val="center"/>
          </w:tcPr>
          <w:p>
            <w:pPr>
              <w:widowControl/>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2</w:t>
            </w:r>
          </w:p>
        </w:tc>
        <w:tc>
          <w:tcPr>
            <w:tcW w:w="2200" w:type="dxa"/>
            <w:vMerge w:val="restart"/>
            <w:vAlign w:val="center"/>
          </w:tcPr>
          <w:p>
            <w:pPr>
              <w:jc w:val="center"/>
              <w:rPr>
                <w:kern w:val="0"/>
                <w:sz w:val="24"/>
              </w:rPr>
            </w:pPr>
            <w:r>
              <w:rPr>
                <w:rFonts w:hint="eastAsia"/>
                <w:kern w:val="0"/>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37" w:type="dxa"/>
            <w:vMerge w:val="continue"/>
            <w:vAlign w:val="center"/>
          </w:tcPr>
          <w:p>
            <w:pPr>
              <w:spacing w:line="440" w:lineRule="exact"/>
              <w:jc w:val="center"/>
              <w:rPr>
                <w:sz w:val="24"/>
                <w:szCs w:val="24"/>
              </w:rPr>
            </w:pPr>
          </w:p>
        </w:tc>
        <w:tc>
          <w:tcPr>
            <w:tcW w:w="966" w:type="dxa"/>
            <w:vAlign w:val="center"/>
          </w:tcPr>
          <w:p>
            <w:pPr>
              <w:widowControl/>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10</w:t>
            </w:r>
          </w:p>
        </w:tc>
        <w:tc>
          <w:tcPr>
            <w:tcW w:w="2567" w:type="dxa"/>
            <w:vAlign w:val="center"/>
          </w:tcPr>
          <w:p>
            <w:pPr>
              <w:widowControl/>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循环水养殖系统</w:t>
            </w:r>
          </w:p>
        </w:tc>
        <w:tc>
          <w:tcPr>
            <w:tcW w:w="1433" w:type="dxa"/>
            <w:vAlign w:val="center"/>
          </w:tcPr>
          <w:p>
            <w:pPr>
              <w:widowControl/>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1</w:t>
            </w:r>
          </w:p>
        </w:tc>
        <w:tc>
          <w:tcPr>
            <w:tcW w:w="2200" w:type="dxa"/>
            <w:vMerge w:val="continue"/>
            <w:vAlign w:val="center"/>
          </w:tcPr>
          <w:p>
            <w:pPr>
              <w:widowControl/>
              <w:jc w:val="center"/>
              <w:rPr>
                <w:kern w:val="0"/>
                <w:sz w:val="24"/>
              </w:rPr>
            </w:pPr>
          </w:p>
        </w:tc>
      </w:tr>
    </w:tbl>
    <w:p>
      <w:pPr>
        <w:spacing w:line="360" w:lineRule="auto"/>
        <w:ind w:firstLine="470" w:firstLineChars="196"/>
        <w:jc w:val="center"/>
        <w:rPr>
          <w:color w:val="000000"/>
          <w:sz w:val="24"/>
          <w:szCs w:val="24"/>
        </w:rPr>
      </w:pPr>
    </w:p>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2"/>
        <w:tblW w:w="8875" w:type="dxa"/>
        <w:jc w:val="center"/>
        <w:tblInd w:w="0" w:type="dxa"/>
        <w:tblLayout w:type="fixed"/>
        <w:tblCellMar>
          <w:top w:w="0" w:type="dxa"/>
          <w:left w:w="108" w:type="dxa"/>
          <w:bottom w:w="0" w:type="dxa"/>
          <w:right w:w="108" w:type="dxa"/>
        </w:tblCellMar>
      </w:tblPr>
      <w:tblGrid>
        <w:gridCol w:w="456"/>
        <w:gridCol w:w="456"/>
        <w:gridCol w:w="6534"/>
        <w:gridCol w:w="1429"/>
      </w:tblGrid>
      <w:tr>
        <w:tblPrEx>
          <w:tblLayout w:type="fixed"/>
          <w:tblCellMar>
            <w:top w:w="0" w:type="dxa"/>
            <w:left w:w="108" w:type="dxa"/>
            <w:bottom w:w="0" w:type="dxa"/>
            <w:right w:w="108" w:type="dxa"/>
          </w:tblCellMar>
        </w:tblPrEx>
        <w:trPr>
          <w:trHeight w:val="29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序号</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设备名称</w:t>
            </w:r>
          </w:p>
        </w:tc>
        <w:tc>
          <w:tcPr>
            <w:tcW w:w="6534"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配置与性能要求</w:t>
            </w:r>
          </w:p>
        </w:tc>
        <w:tc>
          <w:tcPr>
            <w:tcW w:w="1429"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参考品牌</w:t>
            </w:r>
          </w:p>
        </w:tc>
      </w:tr>
      <w:tr>
        <w:tblPrEx>
          <w:tblLayout w:type="fixed"/>
          <w:tblCellMar>
            <w:top w:w="0" w:type="dxa"/>
            <w:left w:w="108" w:type="dxa"/>
            <w:bottom w:w="0" w:type="dxa"/>
            <w:right w:w="108" w:type="dxa"/>
          </w:tblCellMar>
        </w:tblPrEx>
        <w:trPr>
          <w:trHeight w:val="3572"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spacing w:line="360" w:lineRule="auto"/>
              <w:ind w:right="420"/>
              <w:jc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1</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可调量程移液器</w:t>
            </w:r>
          </w:p>
        </w:tc>
        <w:tc>
          <w:tcPr>
            <w:tcW w:w="6534"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napToGrid/>
              <w:spacing w:line="240" w:lineRule="auto"/>
              <w:contextualSpacing/>
              <w:jc w:val="left"/>
              <w:rPr>
                <w:rFonts w:cs="宋体" w:asciiTheme="minorEastAsia" w:hAnsiTheme="minorEastAsia" w:eastAsiaTheme="minorEastAsia"/>
                <w:sz w:val="24"/>
                <w:szCs w:val="24"/>
              </w:rPr>
            </w:pPr>
            <w:r>
              <w:rPr>
                <w:rFonts w:asciiTheme="minorEastAsia" w:hAnsiTheme="minorEastAsia" w:eastAsiaTheme="minorEastAsia"/>
                <w:sz w:val="24"/>
                <w:szCs w:val="24"/>
              </w:rPr>
              <w:t xml:space="preserve"> </w:t>
            </w:r>
            <w:r>
              <w:rPr>
                <w:rFonts w:hint="eastAsia" w:asciiTheme="minorEastAsia" w:hAnsiTheme="minorEastAsia" w:eastAsiaTheme="minorEastAsia"/>
                <w:kern w:val="0"/>
                <w:sz w:val="24"/>
                <w:szCs w:val="24"/>
              </w:rPr>
              <w:t>1.</w:t>
            </w:r>
            <w:r>
              <w:rPr>
                <w:rFonts w:asciiTheme="minorEastAsia" w:hAnsiTheme="minorEastAsia" w:eastAsiaTheme="minorEastAsia"/>
                <w:kern w:val="0"/>
                <w:sz w:val="24"/>
                <w:szCs w:val="24"/>
              </w:rPr>
              <w:t>0.5-10μL,10-100μL,100-1000μL</w:t>
            </w:r>
            <w:r>
              <w:rPr>
                <w:rFonts w:hint="eastAsia" w:asciiTheme="minorEastAsia" w:hAnsiTheme="minorEastAsia" w:eastAsiaTheme="minorEastAsia"/>
                <w:kern w:val="0"/>
                <w:sz w:val="24"/>
                <w:szCs w:val="24"/>
              </w:rPr>
              <w:t>为一套,</w:t>
            </w:r>
            <w:r>
              <w:rPr>
                <w:rFonts w:asciiTheme="minorEastAsia" w:hAnsiTheme="minorEastAsia" w:eastAsiaTheme="minorEastAsia"/>
                <w:kern w:val="0"/>
                <w:sz w:val="24"/>
                <w:szCs w:val="24"/>
              </w:rPr>
              <w:t>外加1-5mL</w:t>
            </w:r>
            <w:r>
              <w:rPr>
                <w:rFonts w:hint="eastAsia" w:asciiTheme="minorEastAsia" w:hAnsiTheme="minorEastAsia" w:eastAsiaTheme="minorEastAsia"/>
                <w:kern w:val="0"/>
                <w:sz w:val="24"/>
                <w:szCs w:val="24"/>
              </w:rPr>
              <w:t>可调量程移液器2支</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2.重量轻，小于80g (单道)</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3.可整支高温高压灭菌和紫外线灭菌</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4.伸缩式弹性吸嘴，确保吸头装配的气密性和移液均-性*</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5.具有密度调节窗口，适用于甘油、 氯化铯等不同密度的液体。</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6.四位数字放大体积显示，位置合理，便于移液时观察</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7.采用高科技材质，坚固耐用、耐高温、抗腐蚀</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艾本德，赛默飞，普兰德</w:t>
            </w:r>
          </w:p>
        </w:tc>
      </w:tr>
      <w:tr>
        <w:tblPrEx>
          <w:tblLayout w:type="fixed"/>
          <w:tblCellMar>
            <w:top w:w="0" w:type="dxa"/>
            <w:left w:w="108" w:type="dxa"/>
            <w:bottom w:w="0" w:type="dxa"/>
            <w:right w:w="108" w:type="dxa"/>
          </w:tblCellMar>
        </w:tblPrEx>
        <w:trPr>
          <w:trHeight w:val="90" w:hRule="atLeast"/>
          <w:jc w:val="center"/>
        </w:trPr>
        <w:tc>
          <w:tcPr>
            <w:tcW w:w="456" w:type="dxa"/>
            <w:tcBorders>
              <w:top w:val="nil"/>
              <w:left w:val="single" w:color="auto" w:sz="4" w:space="0"/>
              <w:bottom w:val="single" w:color="auto" w:sz="4" w:space="0"/>
              <w:right w:val="single" w:color="auto" w:sz="4" w:space="0"/>
            </w:tcBorders>
            <w:vAlign w:val="center"/>
          </w:tcPr>
          <w:p>
            <w:pPr>
              <w:spacing w:line="360" w:lineRule="auto"/>
              <w:ind w:right="420"/>
              <w:jc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2</w:t>
            </w:r>
          </w:p>
        </w:tc>
        <w:tc>
          <w:tcPr>
            <w:tcW w:w="456" w:type="dxa"/>
            <w:tcBorders>
              <w:top w:val="nil"/>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PCR仪</w:t>
            </w:r>
          </w:p>
        </w:tc>
        <w:tc>
          <w:tcPr>
            <w:tcW w:w="6534" w:type="dxa"/>
            <w:tcBorders>
              <w:top w:val="nil"/>
              <w:left w:val="nil"/>
              <w:bottom w:val="single" w:color="auto" w:sz="4" w:space="0"/>
              <w:right w:val="single" w:color="auto" w:sz="4" w:space="0"/>
            </w:tcBorders>
          </w:tcPr>
          <w:p>
            <w:pPr>
              <w:pStyle w:val="27"/>
              <w:keepNext w:val="0"/>
              <w:keepLines w:val="0"/>
              <w:pageBreakBefore w:val="0"/>
              <w:numPr>
                <w:ilvl w:val="0"/>
                <w:numId w:val="1"/>
              </w:numPr>
              <w:kinsoku/>
              <w:wordWrap/>
              <w:overflowPunct/>
              <w:topLinePunct w:val="0"/>
              <w:autoSpaceDE/>
              <w:autoSpaceDN/>
              <w:bidi w:val="0"/>
              <w:snapToGrid/>
              <w:spacing w:line="240" w:lineRule="auto"/>
              <w:ind w:firstLineChars="0"/>
              <w:rPr>
                <w:rFonts w:asciiTheme="minorEastAsia" w:hAnsiTheme="minorEastAsia" w:eastAsiaTheme="minorEastAsia"/>
                <w:sz w:val="24"/>
                <w:szCs w:val="24"/>
              </w:rPr>
            </w:pPr>
            <w:r>
              <w:rPr>
                <w:rFonts w:asciiTheme="minorEastAsia" w:hAnsiTheme="minorEastAsia" w:eastAsiaTheme="minorEastAsia"/>
                <w:sz w:val="24"/>
                <w:szCs w:val="24"/>
              </w:rPr>
              <w:t>功能：用于体外核酸片段扩增</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2  </w:t>
            </w:r>
            <w:r>
              <w:rPr>
                <w:rFonts w:asciiTheme="minorEastAsia" w:hAnsiTheme="minorEastAsia" w:eastAsiaTheme="minorEastAsia"/>
                <w:sz w:val="24"/>
                <w:szCs w:val="24"/>
              </w:rPr>
              <w:t>性能与技术要求：</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cs="宋体" w:asciiTheme="minorEastAsia" w:hAnsiTheme="minorEastAsia" w:eastAsiaTheme="minorEastAsia"/>
                <w:color w:val="000000"/>
                <w:kern w:val="0"/>
                <w:sz w:val="24"/>
                <w:szCs w:val="24"/>
              </w:rPr>
              <w:t>★</w:t>
            </w:r>
            <w:r>
              <w:rPr>
                <w:rFonts w:asciiTheme="minorEastAsia" w:hAnsiTheme="minorEastAsia" w:eastAsiaTheme="minorEastAsia"/>
                <w:sz w:val="24"/>
                <w:szCs w:val="24"/>
              </w:rPr>
              <w:t>2.1 标准反应模板：96孔 x 0.2 ml PCR管，0.2 ml 联管或 1 x 96 孔板</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2.2 最大升降温速率：4℃每秒；温度范围：4-100℃</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cs="宋体" w:asciiTheme="minorEastAsia" w:hAnsiTheme="minorEastAsia" w:eastAsiaTheme="minorEastAsia"/>
                <w:color w:val="000000"/>
                <w:kern w:val="0"/>
                <w:sz w:val="24"/>
                <w:szCs w:val="24"/>
              </w:rPr>
              <w:t>★</w:t>
            </w:r>
            <w:r>
              <w:rPr>
                <w:rFonts w:asciiTheme="minorEastAsia" w:hAnsiTheme="minorEastAsia" w:eastAsiaTheme="minorEastAsia"/>
                <w:sz w:val="24"/>
                <w:szCs w:val="24"/>
              </w:rPr>
              <w:t>2.3 温度梯度：同时运行8个不同温度</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cs="宋体" w:asciiTheme="minorEastAsia" w:hAnsiTheme="minorEastAsia" w:eastAsiaTheme="minorEastAsia"/>
                <w:color w:val="000000"/>
                <w:kern w:val="0"/>
                <w:sz w:val="24"/>
                <w:szCs w:val="24"/>
              </w:rPr>
              <w:t>★</w:t>
            </w:r>
            <w:r>
              <w:rPr>
                <w:rFonts w:asciiTheme="minorEastAsia" w:hAnsiTheme="minorEastAsia" w:eastAsiaTheme="minorEastAsia"/>
                <w:sz w:val="24"/>
                <w:szCs w:val="24"/>
              </w:rPr>
              <w:t>2.4 温度梯度范围：30-100℃；温度梯度温差范围：1-25℃</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2.5 5.7"高分辨率超大彩色液晶显示屏，实验过程中实时显示温控及运行状态</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2.6 用户可设置休眠模式使其更节电</w:t>
            </w:r>
          </w:p>
          <w:p>
            <w:pPr>
              <w:pStyle w:val="27"/>
              <w:keepNext w:val="0"/>
              <w:keepLines w:val="0"/>
              <w:pageBreakBefore w:val="0"/>
              <w:numPr>
                <w:ilvl w:val="1"/>
                <w:numId w:val="2"/>
              </w:numPr>
              <w:kinsoku/>
              <w:wordWrap/>
              <w:overflowPunct/>
              <w:topLinePunct w:val="0"/>
              <w:autoSpaceDE/>
              <w:autoSpaceDN/>
              <w:bidi w:val="0"/>
              <w:snapToGrid/>
              <w:spacing w:line="240" w:lineRule="auto"/>
              <w:ind w:firstLineChars="0"/>
              <w:rPr>
                <w:rFonts w:asciiTheme="minorEastAsia" w:hAnsiTheme="minorEastAsia" w:eastAsiaTheme="minorEastAsia"/>
                <w:sz w:val="24"/>
                <w:szCs w:val="24"/>
              </w:rPr>
            </w:pPr>
            <w:r>
              <w:rPr>
                <w:rFonts w:asciiTheme="minorEastAsia" w:hAnsiTheme="minorEastAsia" w:eastAsiaTheme="minorEastAsia"/>
                <w:sz w:val="24"/>
                <w:szCs w:val="24"/>
              </w:rPr>
              <w:t>接口：1个USB A，可存储500个用户程序</w:t>
            </w:r>
          </w:p>
          <w:p>
            <w:pPr>
              <w:keepNext w:val="0"/>
              <w:keepLines w:val="0"/>
              <w:pageBreakBefore w:val="0"/>
              <w:numPr>
                <w:ilvl w:val="0"/>
                <w:numId w:val="2"/>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配置：主机1台</w:t>
            </w:r>
          </w:p>
        </w:tc>
        <w:tc>
          <w:tcPr>
            <w:tcW w:w="1429" w:type="dxa"/>
            <w:tcBorders>
              <w:top w:val="nil"/>
              <w:left w:val="nil"/>
              <w:bottom w:val="single" w:color="auto" w:sz="4" w:space="0"/>
              <w:right w:val="single" w:color="auto" w:sz="4" w:space="0"/>
            </w:tcBorders>
            <w:vAlign w:val="center"/>
          </w:tcPr>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伯乐、艾本德、ABI</w:t>
            </w:r>
          </w:p>
        </w:tc>
      </w:tr>
      <w:tr>
        <w:tblPrEx>
          <w:tblLayout w:type="fixed"/>
          <w:tblCellMar>
            <w:top w:w="0" w:type="dxa"/>
            <w:left w:w="108" w:type="dxa"/>
            <w:bottom w:w="0" w:type="dxa"/>
            <w:right w:w="108" w:type="dxa"/>
          </w:tblCellMar>
        </w:tblPrEx>
        <w:trPr>
          <w:trHeight w:val="2294"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spacing w:line="360" w:lineRule="auto"/>
              <w:ind w:right="420"/>
              <w:jc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3</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核酸电泳</w:t>
            </w:r>
          </w:p>
        </w:tc>
        <w:tc>
          <w:tcPr>
            <w:tcW w:w="6534" w:type="dxa"/>
            <w:tcBorders>
              <w:top w:val="single" w:color="auto" w:sz="4" w:space="0"/>
              <w:left w:val="nil"/>
              <w:bottom w:val="single" w:color="auto" w:sz="4" w:space="0"/>
              <w:right w:val="single" w:color="auto" w:sz="4" w:space="0"/>
            </w:tcBorders>
          </w:tcPr>
          <w:p>
            <w:pPr>
              <w:pStyle w:val="27"/>
              <w:keepNext w:val="0"/>
              <w:keepLines w:val="0"/>
              <w:pageBreakBefore w:val="0"/>
              <w:widowControl/>
              <w:kinsoku/>
              <w:wordWrap/>
              <w:overflowPunct/>
              <w:topLinePunct w:val="0"/>
              <w:autoSpaceDE/>
              <w:autoSpaceDN/>
              <w:bidi w:val="0"/>
              <w:snapToGrid/>
              <w:spacing w:line="240" w:lineRule="auto"/>
              <w:ind w:firstLine="480"/>
              <w:contextualSpacing/>
              <w:jc w:val="left"/>
              <w:rPr>
                <w:rFonts w:asciiTheme="minorEastAsia" w:hAnsiTheme="minorEastAsia" w:eastAsiaTheme="minorEastAsia"/>
                <w:sz w:val="24"/>
                <w:szCs w:val="24"/>
              </w:rPr>
            </w:pPr>
            <w:r>
              <w:rPr>
                <w:rFonts w:hint="eastAsia" w:asciiTheme="minorEastAsia" w:hAnsiTheme="minorEastAsia" w:eastAsiaTheme="minorEastAsia"/>
                <w:sz w:val="24"/>
                <w:szCs w:val="24"/>
              </w:rPr>
              <w:t>1．凝胶托盘尺寸 (OD)（宽 x 长）： 15 x 10 厘米、15 x 15 厘米、15 x 20 厘米、15 x 25 厘米</w:t>
            </w:r>
          </w:p>
          <w:p>
            <w:pPr>
              <w:pStyle w:val="27"/>
              <w:keepNext w:val="0"/>
              <w:keepLines w:val="0"/>
              <w:pageBreakBefore w:val="0"/>
              <w:widowControl/>
              <w:kinsoku/>
              <w:wordWrap/>
              <w:overflowPunct/>
              <w:topLinePunct w:val="0"/>
              <w:autoSpaceDE/>
              <w:autoSpaceDN/>
              <w:bidi w:val="0"/>
              <w:snapToGrid/>
              <w:spacing w:line="240" w:lineRule="auto"/>
              <w:ind w:firstLine="480"/>
              <w:contextualSpacing/>
              <w:jc w:val="left"/>
              <w:rPr>
                <w:rFonts w:asciiTheme="minorEastAsia" w:hAnsiTheme="minorEastAsia" w:eastAsiaTheme="minorEastAsia"/>
                <w:sz w:val="24"/>
                <w:szCs w:val="24"/>
              </w:rPr>
            </w:pPr>
            <w:r>
              <w:rPr>
                <w:rFonts w:hint="eastAsia" w:asciiTheme="minorEastAsia" w:hAnsiTheme="minorEastAsia" w:eastAsiaTheme="minorEastAsia"/>
                <w:sz w:val="24"/>
                <w:szCs w:val="24"/>
              </w:rPr>
              <w:t>2.样本通量： 1–120</w:t>
            </w:r>
          </w:p>
          <w:p>
            <w:pPr>
              <w:pStyle w:val="27"/>
              <w:keepNext w:val="0"/>
              <w:keepLines w:val="0"/>
              <w:pageBreakBefore w:val="0"/>
              <w:widowControl/>
              <w:kinsoku/>
              <w:wordWrap/>
              <w:overflowPunct/>
              <w:topLinePunct w:val="0"/>
              <w:autoSpaceDE/>
              <w:autoSpaceDN/>
              <w:bidi w:val="0"/>
              <w:snapToGrid/>
              <w:spacing w:line="240" w:lineRule="auto"/>
              <w:ind w:firstLine="480"/>
              <w:contextualSpacing/>
              <w:jc w:val="left"/>
              <w:rPr>
                <w:rFonts w:asciiTheme="minorEastAsia" w:hAnsiTheme="minorEastAsia" w:eastAsiaTheme="minorEastAsia"/>
                <w:sz w:val="24"/>
                <w:szCs w:val="24"/>
              </w:rPr>
            </w:pPr>
            <w:r>
              <w:rPr>
                <w:rFonts w:hint="eastAsia" w:asciiTheme="minorEastAsia" w:hAnsiTheme="minorEastAsia" w:eastAsiaTheme="minorEastAsia"/>
                <w:sz w:val="24"/>
                <w:szCs w:val="24"/>
              </w:rPr>
              <w:t>3．基本缓冲液需要量： ~1 L</w:t>
            </w:r>
          </w:p>
          <w:p>
            <w:pPr>
              <w:pStyle w:val="27"/>
              <w:keepNext w:val="0"/>
              <w:keepLines w:val="0"/>
              <w:pageBreakBefore w:val="0"/>
              <w:widowControl/>
              <w:kinsoku/>
              <w:wordWrap/>
              <w:overflowPunct/>
              <w:topLinePunct w:val="0"/>
              <w:autoSpaceDE/>
              <w:autoSpaceDN/>
              <w:bidi w:val="0"/>
              <w:snapToGrid/>
              <w:spacing w:line="240" w:lineRule="auto"/>
              <w:ind w:firstLine="480"/>
              <w:contextualSpacing/>
              <w:jc w:val="left"/>
              <w:rPr>
                <w:rFonts w:asciiTheme="minorEastAsia" w:hAnsiTheme="minorEastAsia" w:eastAsiaTheme="minorEastAsia"/>
                <w:sz w:val="24"/>
                <w:szCs w:val="24"/>
              </w:rPr>
            </w:pPr>
            <w:r>
              <w:rPr>
                <w:rFonts w:hint="eastAsia" w:asciiTheme="minorEastAsia" w:hAnsiTheme="minorEastAsia" w:eastAsiaTheme="minorEastAsia"/>
                <w:sz w:val="24"/>
                <w:szCs w:val="24"/>
              </w:rPr>
              <w:t>4．溴酚蓝迁移： ~3.0 cm/hr（75 V 下）</w:t>
            </w:r>
          </w:p>
          <w:p>
            <w:pPr>
              <w:pStyle w:val="27"/>
              <w:keepNext w:val="0"/>
              <w:keepLines w:val="0"/>
              <w:pageBreakBefore w:val="0"/>
              <w:widowControl/>
              <w:kinsoku/>
              <w:wordWrap/>
              <w:overflowPunct/>
              <w:topLinePunct w:val="0"/>
              <w:autoSpaceDE/>
              <w:autoSpaceDN/>
              <w:bidi w:val="0"/>
              <w:snapToGrid/>
              <w:spacing w:line="240" w:lineRule="auto"/>
              <w:ind w:firstLine="480"/>
              <w:contextualSpacing/>
              <w:jc w:val="left"/>
              <w:rPr>
                <w:rFonts w:asciiTheme="minorEastAsia" w:hAnsiTheme="minorEastAsia" w:eastAsiaTheme="minorEastAsia"/>
                <w:sz w:val="24"/>
                <w:szCs w:val="24"/>
              </w:rPr>
            </w:pPr>
            <w:r>
              <w:rPr>
                <w:rFonts w:hint="eastAsia" w:asciiTheme="minorEastAsia" w:hAnsiTheme="minorEastAsia" w:eastAsiaTheme="minorEastAsia"/>
                <w:sz w:val="24"/>
                <w:szCs w:val="24"/>
              </w:rPr>
              <w:t>5．配置：包括一个缓冲液槽、一个带电缆的安全盖、一个水准气泡和多个梳（15 孔和 20 孔）</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艾本德，赛默飞，伯乐</w:t>
            </w:r>
          </w:p>
        </w:tc>
      </w:tr>
      <w:tr>
        <w:tblPrEx>
          <w:tblLayout w:type="fixed"/>
          <w:tblCellMar>
            <w:top w:w="0" w:type="dxa"/>
            <w:left w:w="108" w:type="dxa"/>
            <w:bottom w:w="0" w:type="dxa"/>
            <w:right w:w="108" w:type="dxa"/>
          </w:tblCellMar>
        </w:tblPrEx>
        <w:trPr>
          <w:trHeight w:val="6494"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spacing w:line="360" w:lineRule="auto"/>
              <w:ind w:right="420"/>
              <w:jc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4</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蛋白电泳</w:t>
            </w:r>
          </w:p>
        </w:tc>
        <w:tc>
          <w:tcPr>
            <w:tcW w:w="6534" w:type="dxa"/>
            <w:tcBorders>
              <w:top w:val="single" w:color="auto" w:sz="4" w:space="0"/>
              <w:left w:val="nil"/>
              <w:bottom w:val="single" w:color="auto" w:sz="4" w:space="0"/>
              <w:right w:val="single" w:color="auto" w:sz="4" w:space="0"/>
            </w:tcBorders>
            <w:vAlign w:val="center"/>
          </w:tcPr>
          <w:p>
            <w:pPr>
              <w:pStyle w:val="27"/>
              <w:keepNext w:val="0"/>
              <w:keepLines w:val="0"/>
              <w:pageBreakBefore w:val="0"/>
              <w:numPr>
                <w:ilvl w:val="0"/>
                <w:numId w:val="3"/>
              </w:numPr>
              <w:kinsoku/>
              <w:wordWrap/>
              <w:overflowPunct/>
              <w:topLinePunct w:val="0"/>
              <w:autoSpaceDE/>
              <w:autoSpaceDN/>
              <w:bidi w:val="0"/>
              <w:snapToGrid/>
              <w:spacing w:line="240" w:lineRule="auto"/>
              <w:ind w:firstLineChars="0"/>
              <w:rPr>
                <w:rFonts w:asciiTheme="minorEastAsia" w:hAnsiTheme="minorEastAsia" w:eastAsiaTheme="minorEastAsia"/>
                <w:bCs/>
                <w:sz w:val="24"/>
                <w:szCs w:val="24"/>
              </w:rPr>
            </w:pPr>
            <w:r>
              <w:rPr>
                <w:rFonts w:asciiTheme="minorEastAsia" w:hAnsiTheme="minorEastAsia" w:eastAsiaTheme="minorEastAsia"/>
                <w:bCs/>
                <w:sz w:val="24"/>
                <w:szCs w:val="24"/>
              </w:rPr>
              <w:t>性能与技术要求</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cs="宋体" w:asciiTheme="minorEastAsia" w:hAnsiTheme="minorEastAsia" w:eastAsiaTheme="minorEastAsia"/>
                <w:color w:val="000000"/>
                <w:kern w:val="0"/>
                <w:sz w:val="24"/>
                <w:szCs w:val="24"/>
              </w:rPr>
              <w:t>★</w:t>
            </w:r>
            <w:r>
              <w:rPr>
                <w:rFonts w:asciiTheme="minorEastAsia" w:hAnsiTheme="minorEastAsia" w:eastAsiaTheme="minorEastAsia"/>
                <w:sz w:val="24"/>
                <w:szCs w:val="24"/>
              </w:rPr>
              <w:t xml:space="preserve"> 同一槽内可同时进行4块SDS-PAGE凝胶的电泳实验（可选2块胶系统）</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 xml:space="preserve"> 胶面积：</w:t>
            </w:r>
            <w:r>
              <w:rPr>
                <w:rFonts w:asciiTheme="minorEastAsia" w:hAnsiTheme="minorEastAsia" w:eastAsiaTheme="minorEastAsia"/>
                <w:color w:val="000000"/>
                <w:kern w:val="0"/>
                <w:sz w:val="24"/>
                <w:szCs w:val="24"/>
              </w:rPr>
              <w:t>8.3 x 7.3 cm（手灌）；8.6 x 6.8 cm（预制胶）</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 xml:space="preserve"> 短玻璃板：</w:t>
            </w:r>
            <w:r>
              <w:rPr>
                <w:rFonts w:asciiTheme="minorEastAsia" w:hAnsiTheme="minorEastAsia" w:eastAsiaTheme="minorEastAsia"/>
                <w:color w:val="000000"/>
                <w:kern w:val="0"/>
                <w:sz w:val="24"/>
                <w:szCs w:val="24"/>
              </w:rPr>
              <w:t>10.1 x 7.3 cm</w:t>
            </w:r>
            <w:r>
              <w:rPr>
                <w:rFonts w:asciiTheme="minorEastAsia" w:hAnsiTheme="minorEastAsia" w:eastAsiaTheme="minorEastAsia"/>
                <w:sz w:val="24"/>
                <w:szCs w:val="24"/>
              </w:rPr>
              <w:t>；长玻璃板：</w:t>
            </w:r>
            <w:r>
              <w:rPr>
                <w:rFonts w:asciiTheme="minorEastAsia" w:hAnsiTheme="minorEastAsia" w:eastAsiaTheme="minorEastAsia"/>
                <w:color w:val="000000"/>
                <w:kern w:val="0"/>
                <w:sz w:val="24"/>
                <w:szCs w:val="24"/>
              </w:rPr>
              <w:t>10.1 x 8.2 cm</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color w:val="000000"/>
                <w:kern w:val="0"/>
                <w:sz w:val="24"/>
                <w:szCs w:val="24"/>
              </w:rPr>
              <w:t xml:space="preserve"> 两块凝胶的缓冲液总体积：700ml；4块凝胶的缓冲液总体积：1000ml</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color w:val="000000"/>
                <w:kern w:val="0"/>
                <w:sz w:val="24"/>
                <w:szCs w:val="24"/>
              </w:rPr>
              <w:t>SDS-PAGE典型运行时间：35-45分钟（200V恒定电压下）</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 xml:space="preserve"> 玻璃板：</w:t>
            </w:r>
            <w:r>
              <w:rPr>
                <w:rFonts w:asciiTheme="minorEastAsia" w:hAnsiTheme="minorEastAsia" w:eastAsiaTheme="minorEastAsia"/>
                <w:color w:val="000000"/>
                <w:kern w:val="0"/>
                <w:sz w:val="24"/>
                <w:szCs w:val="24"/>
              </w:rPr>
              <w:t>封边垫条永久性地固定在长玻板上，保证玻板精确对齐，防止漏胶</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 xml:space="preserve"> </w:t>
            </w:r>
            <w:r>
              <w:rPr>
                <w:rFonts w:hint="eastAsia" w:cs="宋体" w:asciiTheme="minorEastAsia" w:hAnsiTheme="minorEastAsia" w:eastAsiaTheme="minorEastAsia"/>
                <w:color w:val="000000"/>
                <w:kern w:val="0"/>
                <w:sz w:val="24"/>
                <w:szCs w:val="24"/>
              </w:rPr>
              <w:t>★</w:t>
            </w:r>
            <w:r>
              <w:rPr>
                <w:rFonts w:asciiTheme="minorEastAsia" w:hAnsiTheme="minorEastAsia" w:eastAsiaTheme="minorEastAsia"/>
                <w:color w:val="000000"/>
                <w:kern w:val="0"/>
                <w:sz w:val="24"/>
                <w:szCs w:val="24"/>
              </w:rPr>
              <w:t>灌胶系统：平行排列的设计能同时看到正在灌制的两块凝胶，弹簧杠杆设计使得软橡胶衬垫产生良好的密封性</w:t>
            </w:r>
          </w:p>
          <w:p>
            <w:pPr>
              <w:keepNext w:val="0"/>
              <w:keepLines w:val="0"/>
              <w:pageBreakBefore w:val="0"/>
              <w:numPr>
                <w:ilvl w:val="1"/>
                <w:numId w:val="3"/>
              </w:numPr>
              <w:kinsoku/>
              <w:wordWrap/>
              <w:overflowPunct/>
              <w:topLinePunct w:val="0"/>
              <w:autoSpaceDE/>
              <w:autoSpaceDN/>
              <w:bidi w:val="0"/>
              <w:snapToGrid/>
              <w:spacing w:line="240" w:lineRule="auto"/>
              <w:rPr>
                <w:rFonts w:asciiTheme="minorEastAsia" w:hAnsiTheme="minorEastAsia" w:eastAsiaTheme="minorEastAsia"/>
                <w:sz w:val="24"/>
                <w:szCs w:val="24"/>
              </w:rPr>
            </w:pPr>
            <w:r>
              <w:rPr>
                <w:rFonts w:asciiTheme="minorEastAsia" w:hAnsiTheme="minorEastAsia" w:eastAsiaTheme="minorEastAsia"/>
                <w:sz w:val="24"/>
                <w:szCs w:val="24"/>
              </w:rPr>
              <w:t xml:space="preserve"> </w:t>
            </w:r>
            <w:r>
              <w:rPr>
                <w:rFonts w:asciiTheme="minorEastAsia" w:hAnsiTheme="minorEastAsia" w:eastAsiaTheme="minorEastAsia"/>
                <w:color w:val="000000"/>
                <w:kern w:val="0"/>
                <w:sz w:val="24"/>
                <w:szCs w:val="24"/>
              </w:rPr>
              <w:t>上样引导装置：防止泳道的遗漏上样或重复上样</w:t>
            </w:r>
          </w:p>
          <w:p>
            <w:pPr>
              <w:keepNext w:val="0"/>
              <w:keepLines w:val="0"/>
              <w:pageBreakBefore w:val="0"/>
              <w:kinsoku/>
              <w:wordWrap/>
              <w:overflowPunct/>
              <w:topLinePunct w:val="0"/>
              <w:autoSpaceDE/>
              <w:autoSpaceDN/>
              <w:bidi w:val="0"/>
              <w:snapToGrid/>
              <w:spacing w:line="240" w:lineRule="auto"/>
              <w:ind w:left="480" w:hanging="480" w:hangingChars="200"/>
              <w:rPr>
                <w:rFonts w:asciiTheme="minorEastAsia" w:hAnsiTheme="minorEastAsia" w:eastAsiaTheme="minorEastAsia"/>
                <w:color w:val="000000"/>
                <w:kern w:val="0"/>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rPr>
              <w:t xml:space="preserve">9 </w:t>
            </w:r>
            <w:r>
              <w:rPr>
                <w:rFonts w:asciiTheme="minorEastAsia" w:hAnsiTheme="minorEastAsia" w:eastAsiaTheme="minorEastAsia"/>
                <w:sz w:val="24"/>
                <w:szCs w:val="24"/>
              </w:rPr>
              <w:t>电泳梳：</w:t>
            </w:r>
            <w:r>
              <w:rPr>
                <w:rFonts w:asciiTheme="minorEastAsia" w:hAnsiTheme="minorEastAsia" w:eastAsiaTheme="minorEastAsia"/>
                <w:color w:val="000000"/>
                <w:kern w:val="0"/>
                <w:sz w:val="24"/>
                <w:szCs w:val="24"/>
              </w:rPr>
              <w:t>特殊的塑料电泳梳不会抑制凝胶聚合反应，制胶过程中，内置的脊可避免在灌胶过程时的空气接触，保证均一的凝胶聚合</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u w:val="single"/>
              </w:rPr>
            </w:pPr>
            <w:r>
              <w:rPr>
                <w:rFonts w:asciiTheme="minorEastAsia" w:hAnsiTheme="minorEastAsia" w:eastAsiaTheme="minorEastAsia"/>
                <w:sz w:val="24"/>
                <w:szCs w:val="24"/>
              </w:rPr>
              <w:t>2.1</w:t>
            </w:r>
            <w:r>
              <w:rPr>
                <w:rFonts w:hint="eastAsia" w:asciiTheme="minorEastAsia" w:hAnsiTheme="minorEastAsia" w:eastAsiaTheme="minorEastAsia"/>
                <w:sz w:val="24"/>
                <w:szCs w:val="24"/>
              </w:rPr>
              <w:t>0</w:t>
            </w:r>
            <w:r>
              <w:rPr>
                <w:rFonts w:hint="eastAsia" w:cs="宋体" w:asciiTheme="minorEastAsia" w:hAnsiTheme="minorEastAsia" w:eastAsiaTheme="minorEastAsia"/>
                <w:color w:val="000000"/>
                <w:kern w:val="0"/>
                <w:sz w:val="24"/>
                <w:szCs w:val="24"/>
              </w:rPr>
              <w:t>★</w:t>
            </w:r>
            <w:r>
              <w:rPr>
                <w:rFonts w:asciiTheme="minorEastAsia" w:hAnsiTheme="minorEastAsia" w:eastAsiaTheme="minorEastAsia"/>
                <w:sz w:val="24"/>
                <w:szCs w:val="24"/>
              </w:rPr>
              <w:t>模块化：可换置转印（western blot）等模块</w:t>
            </w:r>
          </w:p>
          <w:p>
            <w:pPr>
              <w:keepNext w:val="0"/>
              <w:keepLines w:val="0"/>
              <w:pageBreakBefore w:val="0"/>
              <w:numPr>
                <w:ilvl w:val="0"/>
                <w:numId w:val="3"/>
              </w:numPr>
              <w:kinsoku/>
              <w:wordWrap/>
              <w:overflowPunct/>
              <w:topLinePunct w:val="0"/>
              <w:autoSpaceDE/>
              <w:autoSpaceDN/>
              <w:bidi w:val="0"/>
              <w:snapToGrid/>
              <w:spacing w:line="240" w:lineRule="auto"/>
              <w:rPr>
                <w:rFonts w:hint="eastAsia" w:cs="宋体" w:asciiTheme="minorEastAsia" w:hAnsiTheme="minorEastAsia" w:eastAsiaTheme="minorEastAsia"/>
                <w:sz w:val="24"/>
                <w:szCs w:val="24"/>
              </w:rPr>
            </w:pPr>
            <w:r>
              <w:rPr>
                <w:rFonts w:asciiTheme="minorEastAsia" w:hAnsiTheme="minorEastAsia" w:eastAsiaTheme="minorEastAsia"/>
                <w:sz w:val="24"/>
                <w:szCs w:val="24"/>
              </w:rPr>
              <w:t>配置</w:t>
            </w:r>
            <w:r>
              <w:rPr>
                <w:rFonts w:hint="eastAsia" w:asciiTheme="minorEastAsia" w:hAnsiTheme="minorEastAsia" w:eastAsiaTheme="minorEastAsia"/>
                <w:sz w:val="24"/>
                <w:szCs w:val="24"/>
              </w:rPr>
              <w:t>：</w:t>
            </w:r>
            <w:r>
              <w:rPr>
                <w:rFonts w:asciiTheme="minorEastAsia" w:hAnsiTheme="minorEastAsia" w:eastAsiaTheme="minorEastAsia"/>
                <w:sz w:val="24"/>
                <w:szCs w:val="24"/>
              </w:rPr>
              <w:t>电泳槽及附件一套，可选两块胶或四块胶系统</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伯乐</w:t>
            </w:r>
          </w:p>
          <w:p>
            <w:pPr>
              <w:spacing w:line="360"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艾本德</w:t>
            </w:r>
          </w:p>
          <w:p>
            <w:pPr>
              <w:spacing w:line="360"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赛默飞</w:t>
            </w:r>
          </w:p>
        </w:tc>
      </w:tr>
      <w:tr>
        <w:tblPrEx>
          <w:tblLayout w:type="fixed"/>
          <w:tblCellMar>
            <w:top w:w="0" w:type="dxa"/>
            <w:left w:w="108" w:type="dxa"/>
            <w:bottom w:w="0" w:type="dxa"/>
            <w:right w:w="108" w:type="dxa"/>
          </w:tblCellMar>
        </w:tblPrEx>
        <w:trPr>
          <w:trHeight w:val="4051"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spacing w:line="360" w:lineRule="auto"/>
              <w:ind w:right="420"/>
              <w:jc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5</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全自动灭菌锅</w:t>
            </w:r>
          </w:p>
        </w:tc>
        <w:tc>
          <w:tcPr>
            <w:tcW w:w="6534"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napToGrid/>
              <w:spacing w:line="240" w:lineRule="auto"/>
              <w:rPr>
                <w:rFonts w:hint="eastAsia" w:cs="宋体" w:asciiTheme="minorEastAsia" w:hAnsiTheme="minorEastAsia" w:eastAsiaTheme="minorEastAsia"/>
                <w:kern w:val="0"/>
                <w:sz w:val="24"/>
                <w:szCs w:val="24"/>
              </w:rPr>
            </w:pPr>
            <w:r>
              <w:rPr>
                <w:rFonts w:hint="eastAsia" w:asciiTheme="minorEastAsia" w:hAnsiTheme="minorEastAsia" w:eastAsiaTheme="minorEastAsia"/>
                <w:color w:val="000000"/>
                <w:sz w:val="24"/>
                <w:szCs w:val="24"/>
              </w:rPr>
              <w:t>★</w:t>
            </w:r>
            <w:r>
              <w:rPr>
                <w:rFonts w:cs="宋体" w:asciiTheme="minorEastAsia" w:hAnsiTheme="minorEastAsia" w:eastAsiaTheme="minorEastAsia"/>
                <w:kern w:val="0"/>
                <w:sz w:val="24"/>
                <w:szCs w:val="24"/>
              </w:rPr>
              <w:t>1.容量:80L ；灭菌腔尺寸:Ø400x700(mm)，手柄旋转开门，安全可靠；</w:t>
            </w:r>
            <w:r>
              <w:rPr>
                <w:rFonts w:cs="宋体" w:asciiTheme="minorEastAsia" w:hAnsiTheme="minorEastAsia" w:eastAsiaTheme="minorEastAsia"/>
                <w:kern w:val="0"/>
                <w:sz w:val="24"/>
                <w:szCs w:val="24"/>
              </w:rPr>
              <w:br w:type="textWrapping"/>
            </w:r>
            <w:r>
              <w:rPr>
                <w:rFonts w:hint="eastAsia" w:cs="宋体" w:asciiTheme="minorEastAsia" w:hAnsiTheme="minorEastAsia" w:eastAsiaTheme="minorEastAsia"/>
                <w:color w:val="000000"/>
                <w:kern w:val="0"/>
                <w:sz w:val="24"/>
                <w:szCs w:val="24"/>
              </w:rPr>
              <w:t>★</w:t>
            </w:r>
            <w:r>
              <w:rPr>
                <w:rFonts w:cs="宋体" w:asciiTheme="minorEastAsia" w:hAnsiTheme="minorEastAsia" w:eastAsiaTheme="minorEastAsia"/>
                <w:kern w:val="0"/>
                <w:sz w:val="24"/>
                <w:szCs w:val="24"/>
              </w:rPr>
              <w:t>2.灭菌腔材料:SUS304不锈钢,</w:t>
            </w:r>
            <w:r>
              <w:rPr>
                <w:rFonts w:cs="宋体" w:asciiTheme="minorEastAsia" w:hAnsiTheme="minorEastAsia" w:eastAsiaTheme="minorEastAsia"/>
                <w:kern w:val="0"/>
                <w:sz w:val="24"/>
                <w:szCs w:val="24"/>
              </w:rPr>
              <w:br w:type="textWrapping"/>
            </w:r>
            <w:r>
              <w:rPr>
                <w:rFonts w:hint="eastAsia" w:asciiTheme="minorEastAsia" w:hAnsiTheme="minorEastAsia" w:eastAsiaTheme="minorEastAsia"/>
                <w:color w:val="000000"/>
                <w:sz w:val="24"/>
                <w:szCs w:val="24"/>
              </w:rPr>
              <w:t>★</w:t>
            </w:r>
            <w:r>
              <w:rPr>
                <w:rFonts w:cs="宋体" w:asciiTheme="minorEastAsia" w:hAnsiTheme="minorEastAsia" w:eastAsiaTheme="minorEastAsia"/>
                <w:kern w:val="0"/>
                <w:sz w:val="24"/>
                <w:szCs w:val="24"/>
              </w:rPr>
              <w:t>3．生产厂家具有高压灭菌器安装告知资质：中国特种设备（压力容器）制造许可证；</w:t>
            </w:r>
            <w:r>
              <w:rPr>
                <w:rFonts w:cs="宋体" w:asciiTheme="minorEastAsia" w:hAnsiTheme="minorEastAsia" w:eastAsiaTheme="minorEastAsia"/>
                <w:kern w:val="0"/>
                <w:sz w:val="24"/>
                <w:szCs w:val="24"/>
              </w:rPr>
              <w:br w:type="textWrapping"/>
            </w:r>
            <w:r>
              <w:rPr>
                <w:rFonts w:cs="宋体" w:asciiTheme="minorEastAsia" w:hAnsiTheme="minorEastAsia" w:eastAsiaTheme="minorEastAsia"/>
                <w:kern w:val="0"/>
                <w:sz w:val="24"/>
                <w:szCs w:val="24"/>
              </w:rPr>
              <w:t>4.温度范围:灭菌温度:105-135℃,融化温度:60-100℃,保温温度:45-60℃,</w:t>
            </w:r>
            <w:r>
              <w:rPr>
                <w:rFonts w:cs="宋体" w:asciiTheme="minorEastAsia" w:hAnsiTheme="minorEastAsia" w:eastAsiaTheme="minorEastAsia"/>
                <w:kern w:val="0"/>
                <w:sz w:val="24"/>
                <w:szCs w:val="24"/>
              </w:rPr>
              <w:br w:type="textWrapping"/>
            </w:r>
            <w:r>
              <w:rPr>
                <w:rFonts w:cs="宋体" w:asciiTheme="minorEastAsia" w:hAnsiTheme="minorEastAsia" w:eastAsiaTheme="minorEastAsia"/>
                <w:kern w:val="0"/>
                <w:sz w:val="24"/>
                <w:szCs w:val="24"/>
              </w:rPr>
              <w:t>5.时间范围:灭菌时间:1-6000分钟,融化时间:1-5000分钟,保温时间:1-8989分钟 ，干燥时间：1-300分钟，定时启动时间：0分钟-6天</w:t>
            </w:r>
            <w:r>
              <w:rPr>
                <w:rFonts w:cs="宋体" w:asciiTheme="minorEastAsia" w:hAnsiTheme="minorEastAsia" w:eastAsiaTheme="minorEastAsia"/>
                <w:kern w:val="0"/>
                <w:sz w:val="24"/>
                <w:szCs w:val="24"/>
              </w:rPr>
              <w:br w:type="textWrapping"/>
            </w:r>
            <w:r>
              <w:rPr>
                <w:rFonts w:hint="eastAsia" w:asciiTheme="minorEastAsia" w:hAnsiTheme="minorEastAsia" w:eastAsiaTheme="minorEastAsia"/>
                <w:color w:val="000000"/>
                <w:sz w:val="24"/>
                <w:szCs w:val="24"/>
              </w:rPr>
              <w:t>★</w:t>
            </w:r>
            <w:r>
              <w:rPr>
                <w:rFonts w:cs="宋体" w:asciiTheme="minorEastAsia" w:hAnsiTheme="minorEastAsia" w:eastAsiaTheme="minorEastAsia"/>
                <w:kern w:val="0"/>
                <w:sz w:val="24"/>
                <w:szCs w:val="24"/>
              </w:rPr>
              <w:t>6.设计压力:0.3MPA，安全阀起跳压力≥0.29MPA；（须提供压力容器合格证里的数据证明）</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致微</w:t>
            </w:r>
          </w:p>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三洋</w:t>
            </w:r>
          </w:p>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松下</w:t>
            </w:r>
          </w:p>
        </w:tc>
      </w:tr>
      <w:tr>
        <w:tblPrEx>
          <w:tblLayout w:type="fixed"/>
          <w:tblCellMar>
            <w:top w:w="0" w:type="dxa"/>
            <w:left w:w="108" w:type="dxa"/>
            <w:bottom w:w="0" w:type="dxa"/>
            <w:right w:w="108" w:type="dxa"/>
          </w:tblCellMar>
        </w:tblPrEx>
        <w:trPr>
          <w:trHeight w:val="6696" w:hRule="atLeast"/>
          <w:jc w:val="center"/>
        </w:trPr>
        <w:tc>
          <w:tcPr>
            <w:tcW w:w="456" w:type="dxa"/>
            <w:tcBorders>
              <w:top w:val="nil"/>
              <w:left w:val="single" w:color="auto" w:sz="4" w:space="0"/>
              <w:bottom w:val="single" w:color="auto" w:sz="4" w:space="0"/>
              <w:right w:val="single" w:color="auto" w:sz="4" w:space="0"/>
            </w:tcBorders>
            <w:vAlign w:val="center"/>
          </w:tcPr>
          <w:p>
            <w:pPr>
              <w:spacing w:line="360" w:lineRule="auto"/>
              <w:ind w:right="420"/>
              <w:jc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6</w:t>
            </w:r>
          </w:p>
        </w:tc>
        <w:tc>
          <w:tcPr>
            <w:tcW w:w="456" w:type="dxa"/>
            <w:tcBorders>
              <w:top w:val="nil"/>
              <w:left w:val="single" w:color="auto" w:sz="4" w:space="0"/>
              <w:bottom w:val="single" w:color="auto" w:sz="4" w:space="0"/>
              <w:right w:val="single" w:color="auto" w:sz="4" w:space="0"/>
            </w:tcBorders>
          </w:tcPr>
          <w:p>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TC20细胞计数仪</w:t>
            </w:r>
          </w:p>
        </w:tc>
        <w:tc>
          <w:tcPr>
            <w:tcW w:w="6534" w:type="dxa"/>
            <w:tcBorders>
              <w:top w:val="nil"/>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1.创新自动聚焦技术，一步操作，在30秒内得到准确细胞总数</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多维聚焦平面技术，更适于区分活、死细胞</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存储100次计数的数据结果；通过USB导出计数结果和细胞图像；直接连接打印机，超净台中使用</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提供总细胞数，细胞存活率等数据</w:t>
            </w:r>
          </w:p>
          <w:p>
            <w:pPr>
              <w:keepNext w:val="0"/>
              <w:keepLines w:val="0"/>
              <w:pageBreakBefore w:val="0"/>
              <w:kinsoku/>
              <w:wordWrap/>
              <w:overflowPunct/>
              <w:topLinePunct w:val="0"/>
              <w:autoSpaceDE/>
              <w:autoSpaceDN/>
              <w:bidi w:val="0"/>
              <w:snapToGrid/>
              <w:spacing w:before="163" w:beforeLines="50" w:after="163" w:afterLines="50"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提供细胞直径分选功能，可通过设定细胞直径范围对目标细胞进行计数</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自动聚焦技术：有</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细胞浓度范围：5x10</w:t>
            </w:r>
            <w:r>
              <w:rPr>
                <w:rFonts w:hint="eastAsia" w:cs="宋体" w:asciiTheme="minorEastAsia" w:hAnsiTheme="minorEastAsia" w:eastAsiaTheme="minorEastAsia"/>
                <w:sz w:val="24"/>
                <w:szCs w:val="24"/>
                <w:vertAlign w:val="superscript"/>
              </w:rPr>
              <w:t>4</w:t>
            </w:r>
            <w:r>
              <w:rPr>
                <w:rFonts w:hint="eastAsia" w:cs="宋体" w:asciiTheme="minorEastAsia" w:hAnsiTheme="minorEastAsia" w:eastAsiaTheme="minorEastAsia"/>
                <w:sz w:val="24"/>
                <w:szCs w:val="24"/>
              </w:rPr>
              <w:t>–1x10</w:t>
            </w:r>
            <w:r>
              <w:rPr>
                <w:rFonts w:hint="eastAsia" w:cs="宋体" w:asciiTheme="minorEastAsia" w:hAnsiTheme="minorEastAsia" w:eastAsiaTheme="minorEastAsia"/>
                <w:sz w:val="24"/>
                <w:szCs w:val="24"/>
                <w:vertAlign w:val="superscript"/>
              </w:rPr>
              <w:t xml:space="preserve">7 </w:t>
            </w:r>
            <w:r>
              <w:rPr>
                <w:rFonts w:hint="eastAsia" w:cs="宋体" w:asciiTheme="minorEastAsia" w:hAnsiTheme="minorEastAsia" w:eastAsiaTheme="minorEastAsia"/>
                <w:sz w:val="24"/>
                <w:szCs w:val="24"/>
              </w:rPr>
              <w:t>cells/ml</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活细胞计数直径范围：6–50 微米</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9.</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样本体积：≤10 μl</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w:t>
            </w:r>
            <w:r>
              <w:rPr>
                <w:rFonts w:hint="eastAsia" w:cs="宋体" w:asciiTheme="minorEastAsia" w:hAnsiTheme="minorEastAsia" w:eastAsiaTheme="minorEastAsia"/>
                <w:sz w:val="24"/>
                <w:szCs w:val="24"/>
              </w:rPr>
              <w:tab/>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数据存储：存储100 计数结果</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w:t>
            </w:r>
            <w:r>
              <w:rPr>
                <w:rFonts w:hint="eastAsia" w:cs="宋体" w:asciiTheme="minorEastAsia" w:hAnsiTheme="minorEastAsia" w:eastAsiaTheme="minorEastAsia"/>
                <w:sz w:val="24"/>
                <w:szCs w:val="24"/>
              </w:rPr>
              <w:tab/>
            </w:r>
            <w:r>
              <w:rPr>
                <w:rFonts w:hint="eastAsia" w:cs="宋体" w:asciiTheme="minorEastAsia" w:hAnsiTheme="minorEastAsia" w:eastAsiaTheme="minorEastAsia"/>
                <w:sz w:val="24"/>
                <w:szCs w:val="24"/>
              </w:rPr>
              <w:t>数据输出：USB驱动器 (USB port A) ；通过USB闪存扩展存贮能力</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12.兼容打印机：是 (USB port A or B)，热敏打印机</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13.稀释度计数器： 有</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14.计数时间：30秒</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15.细胞图像可视：是</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16. 细胞计数板可同时计数两种不同的样品</w:t>
            </w:r>
          </w:p>
          <w:p>
            <w:pPr>
              <w:keepNext w:val="0"/>
              <w:keepLines w:val="0"/>
              <w:pageBreakBefore w:val="0"/>
              <w:kinsoku/>
              <w:wordWrap/>
              <w:overflowPunct/>
              <w:topLinePunct w:val="0"/>
              <w:autoSpaceDE/>
              <w:autoSpaceDN/>
              <w:bidi w:val="0"/>
              <w:snapToGrid/>
              <w:spacing w:line="24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17.计数板深度：100 μm</w:t>
            </w:r>
          </w:p>
          <w:p>
            <w:pPr>
              <w:keepNext w:val="0"/>
              <w:keepLines w:val="0"/>
              <w:pageBreakBefore w:val="0"/>
              <w:kinsoku/>
              <w:wordWrap/>
              <w:overflowPunct/>
              <w:topLinePunct w:val="0"/>
              <w:autoSpaceDE/>
              <w:autoSpaceDN/>
              <w:bidi w:val="0"/>
              <w:snapToGrid/>
              <w:spacing w:line="240" w:lineRule="auto"/>
              <w:jc w:val="lef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18.同时提供无台盼蓝染色的总细胞数量或台盼蓝染色的活细胞计数及细胞存活率</w:t>
            </w:r>
          </w:p>
          <w:p>
            <w:pPr>
              <w:keepNext w:val="0"/>
              <w:keepLines w:val="0"/>
              <w:pageBreakBefore w:val="0"/>
              <w:kinsoku/>
              <w:wordWrap/>
              <w:overflowPunct/>
              <w:topLinePunct w:val="0"/>
              <w:autoSpaceDE/>
              <w:autoSpaceDN/>
              <w:bidi w:val="0"/>
              <w:snapToGrid/>
              <w:spacing w:line="240" w:lineRule="auto"/>
              <w:jc w:val="lef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19.</w:t>
            </w:r>
            <w:r>
              <w:rPr>
                <w:rFonts w:hint="eastAsia" w:cs="宋体" w:asciiTheme="minorEastAsia" w:hAnsiTheme="minorEastAsia" w:eastAsiaTheme="minorEastAsia"/>
                <w:color w:val="000000"/>
                <w:kern w:val="0"/>
                <w:sz w:val="24"/>
                <w:szCs w:val="24"/>
              </w:rPr>
              <w:t>★</w:t>
            </w:r>
            <w:r>
              <w:rPr>
                <w:rFonts w:hint="eastAsia" w:cs="宋体" w:asciiTheme="minorEastAsia" w:hAnsiTheme="minorEastAsia" w:eastAsiaTheme="minorEastAsia"/>
                <w:sz w:val="24"/>
                <w:szCs w:val="24"/>
              </w:rPr>
              <w:t>免费版应用软件，用户可将原始计数数据从TC20上导出，并在PC机上利用TC20 Data Analyzer软件进行后续分析</w:t>
            </w:r>
          </w:p>
          <w:p>
            <w:pPr>
              <w:keepNext w:val="0"/>
              <w:keepLines w:val="0"/>
              <w:pageBreakBefore w:val="0"/>
              <w:kinsoku/>
              <w:wordWrap/>
              <w:overflowPunct/>
              <w:topLinePunct w:val="0"/>
              <w:autoSpaceDE/>
              <w:autoSpaceDN/>
              <w:bidi w:val="0"/>
              <w:snapToGrid/>
              <w:spacing w:line="240" w:lineRule="auto"/>
              <w:jc w:val="left"/>
              <w:rPr>
                <w:rFonts w:hint="eastAsia" w:cs="宋体" w:asciiTheme="minorEastAsia" w:hAnsiTheme="minorEastAsia" w:eastAsiaTheme="minorEastAsia"/>
                <w:sz w:val="24"/>
                <w:szCs w:val="24"/>
              </w:rPr>
            </w:pPr>
            <w:bookmarkStart w:id="2" w:name="_GoBack"/>
            <w:bookmarkEnd w:id="2"/>
            <w:r>
              <w:rPr>
                <w:rFonts w:hint="eastAsia" w:cs="宋体" w:asciiTheme="minorEastAsia" w:hAnsiTheme="minorEastAsia" w:eastAsiaTheme="minorEastAsia"/>
                <w:sz w:val="24"/>
                <w:szCs w:val="24"/>
              </w:rPr>
              <w:t>20.支持样品独立命名</w:t>
            </w:r>
          </w:p>
        </w:tc>
        <w:tc>
          <w:tcPr>
            <w:tcW w:w="1429" w:type="dxa"/>
            <w:tcBorders>
              <w:top w:val="nil"/>
              <w:left w:val="nil"/>
              <w:bottom w:val="single" w:color="auto" w:sz="4" w:space="0"/>
              <w:right w:val="single" w:color="auto" w:sz="4" w:space="0"/>
            </w:tcBorders>
            <w:vAlign w:val="center"/>
          </w:tcPr>
          <w:p>
            <w:pPr>
              <w:spacing w:line="360" w:lineRule="auto"/>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伯乐、赛默飞、</w:t>
            </w:r>
            <w:r>
              <w:rPr>
                <w:rFonts w:hint="eastAsia" w:asciiTheme="minorEastAsia" w:hAnsiTheme="minorEastAsia" w:eastAsiaTheme="minorEastAsia"/>
                <w:sz w:val="24"/>
                <w:szCs w:val="24"/>
              </w:rPr>
              <w:t>艾本德</w:t>
            </w:r>
          </w:p>
        </w:tc>
      </w:tr>
      <w:tr>
        <w:tblPrEx>
          <w:tblLayout w:type="fixed"/>
          <w:tblCellMar>
            <w:top w:w="0" w:type="dxa"/>
            <w:left w:w="108" w:type="dxa"/>
            <w:bottom w:w="0" w:type="dxa"/>
            <w:right w:w="108" w:type="dxa"/>
          </w:tblCellMar>
        </w:tblPrEx>
        <w:trPr>
          <w:trHeight w:val="2580"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spacing w:line="360" w:lineRule="auto"/>
              <w:ind w:right="420"/>
              <w:jc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7</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sz w:val="24"/>
                <w:szCs w:val="24"/>
              </w:rPr>
            </w:pPr>
            <w:r>
              <w:rPr>
                <w:rFonts w:hint="eastAsia" w:asciiTheme="minorEastAsia" w:hAnsiTheme="minorEastAsia" w:eastAsiaTheme="minorEastAsia"/>
                <w:sz w:val="24"/>
                <w:szCs w:val="24"/>
              </w:rPr>
              <w:t>旋涡混合仪</w:t>
            </w:r>
          </w:p>
        </w:tc>
        <w:tc>
          <w:tcPr>
            <w:tcW w:w="6534"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1.电源：220V</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2.功率：50W</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3.转速：2800转/分</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4.控制形式：光控感应</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5.感应距离：30cm</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6.工作方式：连续、点触、调速</w:t>
            </w:r>
          </w:p>
          <w:p>
            <w:pPr>
              <w:keepNext w:val="0"/>
              <w:keepLines w:val="0"/>
              <w:pageBreakBefore w:val="0"/>
              <w:kinsoku/>
              <w:wordWrap/>
              <w:overflowPunct/>
              <w:topLinePunct w:val="0"/>
              <w:autoSpaceDE/>
              <w:autoSpaceDN/>
              <w:bidi w:val="0"/>
              <w:adjustRightInd w:val="0"/>
              <w:snapToGrid/>
              <w:spacing w:line="240" w:lineRule="auto"/>
              <w:ind w:left="120"/>
              <w:jc w:val="left"/>
              <w:textAlignment w:val="baseline"/>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7.工作台：碗型、平板型可调换</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伯乐、赛默飞、</w:t>
            </w:r>
            <w:r>
              <w:rPr>
                <w:rFonts w:hint="eastAsia" w:asciiTheme="minorEastAsia" w:hAnsiTheme="minorEastAsia" w:eastAsiaTheme="minorEastAsia"/>
                <w:sz w:val="24"/>
                <w:szCs w:val="24"/>
              </w:rPr>
              <w:t>艾本德</w:t>
            </w:r>
          </w:p>
        </w:tc>
      </w:tr>
      <w:tr>
        <w:tblPrEx>
          <w:tblLayout w:type="fixed"/>
          <w:tblCellMar>
            <w:top w:w="0" w:type="dxa"/>
            <w:left w:w="108" w:type="dxa"/>
            <w:bottom w:w="0" w:type="dxa"/>
            <w:right w:w="108" w:type="dxa"/>
          </w:tblCellMar>
        </w:tblPrEx>
        <w:trPr>
          <w:trHeight w:val="3648"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kern w:val="0"/>
                <w:sz w:val="24"/>
                <w:szCs w:val="24"/>
              </w:rPr>
              <w:t>8</w:t>
            </w:r>
          </w:p>
        </w:tc>
        <w:tc>
          <w:tcPr>
            <w:tcW w:w="4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贝壳类养殖实验设备系统</w:t>
            </w:r>
          </w:p>
        </w:tc>
        <w:tc>
          <w:tcPr>
            <w:tcW w:w="6534" w:type="dxa"/>
            <w:tcBorders>
              <w:top w:val="single" w:color="auto" w:sz="4" w:space="0"/>
              <w:left w:val="nil"/>
              <w:bottom w:val="single" w:color="auto" w:sz="4" w:space="0"/>
              <w:right w:val="single" w:color="auto" w:sz="4" w:space="0"/>
            </w:tcBorders>
          </w:tcPr>
          <w:p>
            <w:pPr>
              <w:pStyle w:val="27"/>
              <w:keepNext w:val="0"/>
              <w:keepLines w:val="0"/>
              <w:pageBreakBefore w:val="0"/>
              <w:kinsoku/>
              <w:wordWrap/>
              <w:overflowPunct/>
              <w:topLinePunct w:val="0"/>
              <w:autoSpaceDE/>
              <w:autoSpaceDN/>
              <w:bidi w:val="0"/>
              <w:snapToGrid/>
              <w:spacing w:line="24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1、 蟹公寓：60格（单体盒子尺寸：200*32*140）；</w:t>
            </w:r>
          </w:p>
          <w:p>
            <w:pPr>
              <w:pStyle w:val="27"/>
              <w:keepNext w:val="0"/>
              <w:keepLines w:val="0"/>
              <w:pageBreakBefore w:val="0"/>
              <w:kinsoku/>
              <w:wordWrap/>
              <w:overflowPunct/>
              <w:topLinePunct w:val="0"/>
              <w:autoSpaceDE/>
              <w:autoSpaceDN/>
              <w:bidi w:val="0"/>
              <w:snapToGrid/>
              <w:spacing w:line="24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2、蓝色PP（聚丙烯）底部过滤集水槽（内含粗过滤垫）；</w:t>
            </w:r>
          </w:p>
          <w:p>
            <w:pPr>
              <w:pStyle w:val="27"/>
              <w:keepNext w:val="0"/>
              <w:keepLines w:val="0"/>
              <w:pageBreakBefore w:val="0"/>
              <w:kinsoku/>
              <w:wordWrap/>
              <w:overflowPunct/>
              <w:topLinePunct w:val="0"/>
              <w:autoSpaceDE/>
              <w:autoSpaceDN/>
              <w:bidi w:val="0"/>
              <w:snapToGrid/>
              <w:spacing w:line="24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3、20寸*5芯精密过滤器，提供良好的水质；</w:t>
            </w:r>
          </w:p>
          <w:p>
            <w:pPr>
              <w:pStyle w:val="27"/>
              <w:keepNext w:val="0"/>
              <w:keepLines w:val="0"/>
              <w:pageBreakBefore w:val="0"/>
              <w:kinsoku/>
              <w:wordWrap/>
              <w:overflowPunct/>
              <w:topLinePunct w:val="0"/>
              <w:autoSpaceDE/>
              <w:autoSpaceDN/>
              <w:bidi w:val="0"/>
              <w:snapToGrid/>
              <w:spacing w:line="24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4、UV紫外线杀菌器（原装飞利浦灯管），确保水中无细菌滋生；</w:t>
            </w:r>
          </w:p>
          <w:p>
            <w:pPr>
              <w:pStyle w:val="27"/>
              <w:keepNext w:val="0"/>
              <w:keepLines w:val="0"/>
              <w:pageBreakBefore w:val="0"/>
              <w:kinsoku/>
              <w:wordWrap/>
              <w:overflowPunct/>
              <w:topLinePunct w:val="0"/>
              <w:autoSpaceDE/>
              <w:autoSpaceDN/>
              <w:bidi w:val="0"/>
              <w:snapToGrid/>
              <w:spacing w:line="24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5、 耐腐蚀循环水泵：1台；</w:t>
            </w:r>
          </w:p>
          <w:p>
            <w:pPr>
              <w:pStyle w:val="27"/>
              <w:keepNext w:val="0"/>
              <w:keepLines w:val="0"/>
              <w:pageBreakBefore w:val="0"/>
              <w:kinsoku/>
              <w:wordWrap/>
              <w:overflowPunct/>
              <w:topLinePunct w:val="0"/>
              <w:autoSpaceDE/>
              <w:autoSpaceDN/>
              <w:bidi w:val="0"/>
              <w:snapToGrid/>
              <w:spacing w:line="24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6、 数字温控系统+1KW钛金属加热器+1/4匹冷水机（控温范围10~40℃）</w:t>
            </w:r>
          </w:p>
          <w:p>
            <w:pPr>
              <w:pStyle w:val="27"/>
              <w:keepNext w:val="0"/>
              <w:keepLines w:val="0"/>
              <w:pageBreakBefore w:val="0"/>
              <w:kinsoku/>
              <w:wordWrap/>
              <w:overflowPunct/>
              <w:topLinePunct w:val="0"/>
              <w:autoSpaceDE/>
              <w:autoSpaceDN/>
              <w:bidi w:val="0"/>
              <w:snapToGrid/>
              <w:spacing w:line="240" w:lineRule="auto"/>
              <w:ind w:firstLine="0" w:firstLineChars="0"/>
              <w:rPr>
                <w:rFonts w:asciiTheme="minorEastAsia" w:hAnsiTheme="minorEastAsia" w:eastAsiaTheme="minorEastAsia"/>
                <w:sz w:val="24"/>
                <w:szCs w:val="24"/>
              </w:rPr>
            </w:pPr>
            <w:r>
              <w:rPr>
                <w:rFonts w:hint="eastAsia" w:asciiTheme="minorEastAsia" w:hAnsiTheme="minorEastAsia" w:eastAsiaTheme="minorEastAsia"/>
                <w:sz w:val="24"/>
                <w:szCs w:val="24"/>
              </w:rPr>
              <w:t>7、总体长宽高：3200*350*1600</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中科海</w:t>
            </w:r>
          </w:p>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青海海兴</w:t>
            </w:r>
          </w:p>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上海海圣</w:t>
            </w:r>
          </w:p>
          <w:p>
            <w:pPr>
              <w:spacing w:line="360" w:lineRule="auto"/>
              <w:jc w:val="center"/>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603"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kern w:val="0"/>
                <w:sz w:val="24"/>
                <w:szCs w:val="24"/>
              </w:rPr>
              <w:t>9</w:t>
            </w:r>
          </w:p>
        </w:tc>
        <w:tc>
          <w:tcPr>
            <w:tcW w:w="4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循环水养殖系统</w:t>
            </w:r>
          </w:p>
        </w:tc>
        <w:tc>
          <w:tcPr>
            <w:tcW w:w="6534"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 PP水槽6个（尺寸：Φ1000*800），锥形底部，排水口位于中心，排空彻底无存留。；</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 高速砂滤缸1台</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3、紫外线杀菌器1台</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 水泵1台</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 电器控制箱</w:t>
            </w:r>
          </w:p>
          <w:p>
            <w:pPr>
              <w:keepNext w:val="0"/>
              <w:keepLines w:val="0"/>
              <w:pageBreakBefore w:val="0"/>
              <w:kinsoku/>
              <w:wordWrap/>
              <w:overflowPunct/>
              <w:topLinePunct w:val="0"/>
              <w:autoSpaceDE/>
              <w:autoSpaceDN/>
              <w:bidi w:val="0"/>
              <w:snapToGrid/>
              <w:spacing w:line="240" w:lineRule="auto"/>
              <w:rPr>
                <w:rFonts w:cs="宋体" w:asciiTheme="minorEastAsia" w:hAnsiTheme="minorEastAsia" w:eastAsiaTheme="minorEastAsia"/>
                <w:color w:val="000000"/>
                <w:sz w:val="24"/>
                <w:szCs w:val="24"/>
              </w:rPr>
            </w:pPr>
            <w:r>
              <w:rPr>
                <w:rFonts w:hint="eastAsia" w:asciiTheme="minorEastAsia" w:hAnsiTheme="minorEastAsia" w:eastAsiaTheme="minorEastAsia"/>
                <w:sz w:val="24"/>
                <w:szCs w:val="24"/>
              </w:rPr>
              <w:t>5.</w:t>
            </w:r>
            <w:r>
              <w:rPr>
                <w:rFonts w:hint="eastAsia" w:cs="宋体" w:asciiTheme="minorEastAsia" w:hAnsiTheme="minorEastAsia" w:eastAsiaTheme="minorEastAsia"/>
                <w:color w:val="000000"/>
                <w:sz w:val="24"/>
                <w:szCs w:val="24"/>
              </w:rPr>
              <w:t xml:space="preserve"> 1套水处理，4个1.5吨罐</w:t>
            </w:r>
          </w:p>
          <w:p>
            <w:pPr>
              <w:keepNext w:val="0"/>
              <w:keepLines w:val="0"/>
              <w:pageBreakBefore w:val="0"/>
              <w:kinsoku/>
              <w:wordWrap/>
              <w:overflowPunct/>
              <w:topLinePunct w:val="0"/>
              <w:autoSpaceDE/>
              <w:autoSpaceDN/>
              <w:bidi w:val="0"/>
              <w:snapToGrid/>
              <w:spacing w:line="240" w:lineRule="auto"/>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6.</w:t>
            </w:r>
            <w:r>
              <w:rPr>
                <w:rFonts w:hint="eastAsia" w:cs="宋体" w:asciiTheme="minorEastAsia" w:hAnsiTheme="minorEastAsia" w:eastAsiaTheme="minorEastAsia"/>
                <w:color w:val="000000"/>
                <w:kern w:val="0"/>
                <w:sz w:val="24"/>
                <w:szCs w:val="24"/>
              </w:rPr>
              <w:t xml:space="preserve"> </w:t>
            </w:r>
            <w:r>
              <w:rPr>
                <w:rFonts w:hint="eastAsia" w:cs="宋体" w:asciiTheme="minorEastAsia" w:hAnsiTheme="minorEastAsia" w:eastAsiaTheme="minorEastAsia"/>
                <w:color w:val="000000"/>
                <w:sz w:val="24"/>
                <w:szCs w:val="24"/>
              </w:rPr>
              <w:t>蛋白分离器1个</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中科海</w:t>
            </w:r>
          </w:p>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青海海兴</w:t>
            </w:r>
          </w:p>
          <w:p>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上海海圣</w:t>
            </w:r>
          </w:p>
          <w:p>
            <w:pPr>
              <w:spacing w:line="360" w:lineRule="auto"/>
              <w:jc w:val="center"/>
              <w:rPr>
                <w:rFonts w:asciiTheme="minorEastAsia" w:hAnsiTheme="minorEastAsia" w:eastAsiaTheme="minorEastAsia"/>
                <w:sz w:val="24"/>
                <w:szCs w:val="24"/>
              </w:rPr>
            </w:pPr>
          </w:p>
        </w:tc>
      </w:tr>
    </w:tbl>
    <w:p>
      <w:pPr>
        <w:spacing w:line="360" w:lineRule="auto"/>
        <w:ind w:firstLine="470" w:firstLineChars="196"/>
        <w:rPr>
          <w:color w:val="000000"/>
          <w:sz w:val="24"/>
          <w:lang w:val="zh-CN"/>
        </w:rPr>
      </w:pPr>
    </w:p>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r>
        <w:rPr>
          <w:rFonts w:hint="eastAsia"/>
          <w:color w:val="000000"/>
          <w:sz w:val="24"/>
          <w:lang w:val="en-US" w:eastAsia="zh-CN"/>
        </w:rPr>
        <w:t>必须全部满足，否则</w:t>
      </w:r>
      <w:r>
        <w:rPr>
          <w:rFonts w:hint="eastAsia"/>
          <w:color w:val="000000"/>
          <w:sz w:val="24"/>
        </w:rPr>
        <w:t>为无效标。</w:t>
      </w:r>
    </w:p>
    <w:p>
      <w:pPr>
        <w:spacing w:line="360" w:lineRule="auto"/>
        <w:ind w:firstLine="480" w:firstLineChars="200"/>
        <w:rPr>
          <w:color w:val="000000"/>
          <w:sz w:val="24"/>
          <w:lang w:val="zh-CN"/>
        </w:rPr>
      </w:pPr>
      <w:r>
        <w:rPr>
          <w:rFonts w:hint="eastAsia"/>
          <w:color w:val="000000"/>
          <w:sz w:val="24"/>
          <w:lang w:val="zh-CN"/>
        </w:rPr>
        <w:t>投标品牌档次不能低于推荐品牌，否则为无效标。</w:t>
      </w:r>
    </w:p>
    <w:p>
      <w:pPr>
        <w:spacing w:line="360" w:lineRule="auto"/>
        <w:ind w:firstLine="480" w:firstLineChars="200"/>
        <w:rPr>
          <w:color w:val="000000"/>
          <w:sz w:val="24"/>
          <w:szCs w:val="24"/>
        </w:rPr>
      </w:pPr>
      <w:r>
        <w:rPr>
          <w:rFonts w:hint="eastAsia"/>
          <w:color w:val="000000"/>
          <w:sz w:val="24"/>
        </w:rPr>
        <w:t>★</w:t>
      </w:r>
      <w:r>
        <w:rPr>
          <w:rFonts w:hint="eastAsia"/>
          <w:color w:val="000000"/>
          <w:sz w:val="24"/>
          <w:szCs w:val="24"/>
        </w:rPr>
        <w:t>三、质保及售后</w:t>
      </w:r>
    </w:p>
    <w:p>
      <w:pPr>
        <w:spacing w:line="360" w:lineRule="auto"/>
        <w:ind w:firstLine="480" w:firstLineChars="200"/>
        <w:rPr>
          <w:rFonts w:hint="eastAsia" w:ascii="宋体" w:hAnsi="宋体"/>
          <w:bCs/>
          <w:sz w:val="24"/>
          <w:szCs w:val="24"/>
          <w:lang w:val="zh-CN"/>
        </w:rPr>
      </w:pPr>
      <w:r>
        <w:rPr>
          <w:rFonts w:hint="eastAsia" w:ascii="宋体" w:hAnsi="宋体"/>
          <w:bCs/>
          <w:sz w:val="24"/>
          <w:szCs w:val="24"/>
          <w:lang w:val="zh-CN"/>
        </w:rPr>
        <w:t>以上所有设备质保至少2年，设备有故障时24小时响应，48小时内到达现场维修。</w:t>
      </w:r>
    </w:p>
    <w:p>
      <w:pPr>
        <w:spacing w:line="30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四</w:t>
      </w:r>
      <w:r>
        <w:rPr>
          <w:color w:val="000000"/>
          <w:sz w:val="24"/>
          <w:szCs w:val="24"/>
        </w:rPr>
        <w:t>、商务要求</w:t>
      </w:r>
    </w:p>
    <w:p>
      <w:pPr>
        <w:spacing w:line="360" w:lineRule="auto"/>
        <w:ind w:firstLine="480" w:firstLineChars="200"/>
        <w:rPr>
          <w:color w:val="auto"/>
          <w:sz w:val="24"/>
          <w:lang w:val="zh-CN"/>
        </w:rPr>
      </w:pPr>
      <w:r>
        <w:rPr>
          <w:color w:val="000000"/>
          <w:sz w:val="24"/>
          <w:lang w:val="zh-CN"/>
        </w:rPr>
        <w:t>1.供货时间:合</w:t>
      </w:r>
      <w:r>
        <w:rPr>
          <w:color w:val="auto"/>
          <w:sz w:val="24"/>
          <w:lang w:val="zh-CN"/>
        </w:rPr>
        <w:t>同签订后</w:t>
      </w:r>
      <w:r>
        <w:rPr>
          <w:rFonts w:hint="eastAsia"/>
          <w:color w:val="auto"/>
          <w:sz w:val="24"/>
          <w:lang w:val="zh-CN"/>
        </w:rPr>
        <w:t>75</w:t>
      </w:r>
      <w:r>
        <w:rPr>
          <w:color w:val="auto"/>
          <w:sz w:val="24"/>
          <w:lang w:val="zh-CN"/>
        </w:rPr>
        <w:t>日内供货安装调试到位。</w:t>
      </w:r>
    </w:p>
    <w:p>
      <w:pPr>
        <w:spacing w:line="360" w:lineRule="auto"/>
        <w:ind w:firstLine="480" w:firstLineChars="200"/>
        <w:rPr>
          <w:color w:val="auto"/>
          <w:sz w:val="24"/>
          <w:lang w:val="zh-CN"/>
        </w:rPr>
      </w:pPr>
      <w:r>
        <w:rPr>
          <w:color w:val="auto"/>
          <w:sz w:val="24"/>
          <w:lang w:val="zh-CN"/>
        </w:rPr>
        <w:t>2.供货地点:</w:t>
      </w:r>
      <w:r>
        <w:rPr>
          <w:rFonts w:hint="eastAsia"/>
          <w:color w:val="auto"/>
          <w:sz w:val="24"/>
          <w:lang w:val="zh-CN"/>
        </w:rPr>
        <w:t>淮阴工学院生科学院27号楼三楼32</w:t>
      </w:r>
      <w:r>
        <w:rPr>
          <w:color w:val="auto"/>
          <w:sz w:val="24"/>
          <w:lang w:val="zh-CN"/>
        </w:rPr>
        <w:t>7</w:t>
      </w:r>
      <w:r>
        <w:rPr>
          <w:rFonts w:hint="eastAsia"/>
          <w:color w:val="auto"/>
          <w:sz w:val="24"/>
          <w:lang w:val="zh-CN"/>
        </w:rPr>
        <w:t>室</w:t>
      </w:r>
    </w:p>
    <w:p>
      <w:pPr>
        <w:spacing w:line="360" w:lineRule="auto"/>
        <w:ind w:firstLine="480" w:firstLineChars="200"/>
        <w:rPr>
          <w:color w:val="000000"/>
          <w:sz w:val="24"/>
          <w:lang w:val="zh-CN"/>
        </w:rPr>
      </w:pPr>
      <w:r>
        <w:rPr>
          <w:color w:val="000000"/>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000000"/>
          <w:sz w:val="24"/>
        </w:rPr>
        <w:t>并按合同追究赔偿等责任</w:t>
      </w:r>
      <w:r>
        <w:rPr>
          <w:color w:val="000000"/>
          <w:sz w:val="24"/>
          <w:lang w:val="zh-CN"/>
        </w:rPr>
        <w:t>。如验收不合格以及发现伪劣产品等，采购人将视其情况，采取退货、拒付货款、索赔等措施，直至向质量技术监督主管部门报告，依法处理。</w:t>
      </w:r>
    </w:p>
    <w:p>
      <w:pPr>
        <w:rPr>
          <w:rFonts w:hint="eastAsia" w:ascii="方正小标宋简体" w:eastAsia="方正小标宋简体"/>
          <w:color w:val="000000"/>
          <w:spacing w:val="4"/>
          <w:sz w:val="36"/>
          <w:szCs w:val="36"/>
        </w:rPr>
      </w:pPr>
      <w:r>
        <w:rPr>
          <w:rFonts w:hint="eastAsia" w:ascii="方正小标宋简体" w:eastAsia="方正小标宋简体"/>
          <w:color w:val="000000"/>
          <w:spacing w:val="4"/>
          <w:sz w:val="36"/>
          <w:szCs w:val="36"/>
        </w:rPr>
        <w:br w:type="page"/>
      </w: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4"/>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5"/>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w:t>
      </w:r>
      <w:r>
        <w:rPr>
          <w:rFonts w:hint="eastAsia"/>
          <w:color w:val="auto"/>
          <w:szCs w:val="21"/>
          <w:highlight w:val="none"/>
        </w:rPr>
        <w:t>为2016年1月以来</w:t>
      </w:r>
      <w:r>
        <w:rPr>
          <w:rFonts w:hint="eastAsia"/>
          <w:szCs w:val="21"/>
        </w:rPr>
        <w:t>；须附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3"/>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3"/>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82118"/>
    </w:sdtPr>
    <w:sdtContent>
      <w:p>
        <w:pPr>
          <w:pStyle w:val="8"/>
          <w:jc w:val="center"/>
        </w:pPr>
        <w:r>
          <w:rPr>
            <w:lang w:val="zh-CN"/>
          </w:rPr>
          <w:fldChar w:fldCharType="begin"/>
        </w:r>
        <w:r>
          <w:rPr>
            <w:lang w:val="zh-CN"/>
          </w:rPr>
          <w:instrText xml:space="preserve"> PAGE   \* MERGEFORMAT </w:instrText>
        </w:r>
        <w:r>
          <w:rPr>
            <w:lang w:val="zh-CN"/>
          </w:rPr>
          <w:fldChar w:fldCharType="separate"/>
        </w:r>
        <w:r>
          <w:rPr>
            <w:lang w:val="zh-CN"/>
          </w:rPr>
          <w:t>31</w:t>
        </w:r>
        <w:r>
          <w:rPr>
            <w:lang w:val="zh-CN"/>
          </w:rPr>
          <w:fldChar w:fldCharType="end"/>
        </w:r>
      </w:p>
    </w:sdtContent>
  </w:sdt>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7370F"/>
    <w:multiLevelType w:val="multilevel"/>
    <w:tmpl w:val="1257370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2">
    <w:nsid w:val="26717E27"/>
    <w:multiLevelType w:val="multilevel"/>
    <w:tmpl w:val="26717E27"/>
    <w:lvl w:ilvl="0" w:tentative="0">
      <w:start w:val="2"/>
      <w:numFmt w:val="decimal"/>
      <w:lvlText w:val="%1"/>
      <w:lvlJc w:val="left"/>
      <w:pPr>
        <w:ind w:left="360" w:hanging="360"/>
      </w:pPr>
      <w:rPr>
        <w:rFonts w:hint="default"/>
      </w:rPr>
    </w:lvl>
    <w:lvl w:ilvl="1" w:tentative="0">
      <w:start w:val="7"/>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4">
    <w:nsid w:val="469B7377"/>
    <w:multiLevelType w:val="multilevel"/>
    <w:tmpl w:val="469B7377"/>
    <w:lvl w:ilvl="0" w:tentative="0">
      <w:start w:val="1"/>
      <w:numFmt w:val="decimal"/>
      <w:lvlText w:val="%1．"/>
      <w:lvlJc w:val="left"/>
      <w:pPr>
        <w:ind w:left="360" w:hanging="360"/>
      </w:pPr>
      <w:rPr>
        <w:rFonts w:cs="Times New Roman" w:asciiTheme="minorEastAsia" w:hAnsiTheme="minorEastAsia" w:eastAsiaTheme="minorEastAsia"/>
      </w:rPr>
    </w:lvl>
    <w:lvl w:ilvl="1" w:tentative="0">
      <w:start w:val="1"/>
      <w:numFmt w:val="decimal"/>
      <w:isLgl/>
      <w:lvlText w:val="%1.%2"/>
      <w:lvlJc w:val="left"/>
      <w:pPr>
        <w:ind w:left="360" w:hanging="360"/>
      </w:pPr>
      <w:rPr>
        <w:rFonts w:hint="default" w:hAnsi="楷体"/>
      </w:rPr>
    </w:lvl>
    <w:lvl w:ilvl="2" w:tentative="0">
      <w:start w:val="1"/>
      <w:numFmt w:val="decimal"/>
      <w:isLgl/>
      <w:lvlText w:val="%1.%2.%3"/>
      <w:lvlJc w:val="left"/>
      <w:pPr>
        <w:ind w:left="720" w:hanging="720"/>
      </w:pPr>
      <w:rPr>
        <w:rFonts w:hint="default" w:hAnsi="楷体"/>
      </w:rPr>
    </w:lvl>
    <w:lvl w:ilvl="3" w:tentative="0">
      <w:start w:val="1"/>
      <w:numFmt w:val="decimal"/>
      <w:isLgl/>
      <w:lvlText w:val="%1.%2.%3.%4"/>
      <w:lvlJc w:val="left"/>
      <w:pPr>
        <w:ind w:left="720" w:hanging="720"/>
      </w:pPr>
      <w:rPr>
        <w:rFonts w:hint="default" w:hAnsi="楷体"/>
      </w:rPr>
    </w:lvl>
    <w:lvl w:ilvl="4" w:tentative="0">
      <w:start w:val="1"/>
      <w:numFmt w:val="decimal"/>
      <w:isLgl/>
      <w:lvlText w:val="%1.%2.%3.%4.%5"/>
      <w:lvlJc w:val="left"/>
      <w:pPr>
        <w:ind w:left="1080" w:hanging="1080"/>
      </w:pPr>
      <w:rPr>
        <w:rFonts w:hint="default" w:hAnsi="楷体"/>
      </w:rPr>
    </w:lvl>
    <w:lvl w:ilvl="5" w:tentative="0">
      <w:start w:val="1"/>
      <w:numFmt w:val="decimal"/>
      <w:isLgl/>
      <w:lvlText w:val="%1.%2.%3.%4.%5.%6"/>
      <w:lvlJc w:val="left"/>
      <w:pPr>
        <w:ind w:left="1080" w:hanging="1080"/>
      </w:pPr>
      <w:rPr>
        <w:rFonts w:hint="default" w:hAnsi="楷体"/>
      </w:rPr>
    </w:lvl>
    <w:lvl w:ilvl="6" w:tentative="0">
      <w:start w:val="1"/>
      <w:numFmt w:val="decimal"/>
      <w:isLgl/>
      <w:lvlText w:val="%1.%2.%3.%4.%5.%6.%7"/>
      <w:lvlJc w:val="left"/>
      <w:pPr>
        <w:ind w:left="1440" w:hanging="1440"/>
      </w:pPr>
      <w:rPr>
        <w:rFonts w:hint="default" w:hAnsi="楷体"/>
      </w:rPr>
    </w:lvl>
    <w:lvl w:ilvl="7" w:tentative="0">
      <w:start w:val="1"/>
      <w:numFmt w:val="decimal"/>
      <w:isLgl/>
      <w:lvlText w:val="%1.%2.%3.%4.%5.%6.%7.%8"/>
      <w:lvlJc w:val="left"/>
      <w:pPr>
        <w:ind w:left="1440" w:hanging="1440"/>
      </w:pPr>
      <w:rPr>
        <w:rFonts w:hint="default" w:hAnsi="楷体"/>
      </w:rPr>
    </w:lvl>
    <w:lvl w:ilvl="8" w:tentative="0">
      <w:start w:val="1"/>
      <w:numFmt w:val="decimal"/>
      <w:isLgl/>
      <w:lvlText w:val="%1.%2.%3.%4.%5.%6.%7.%8.%9"/>
      <w:lvlJc w:val="left"/>
      <w:pPr>
        <w:ind w:left="1800" w:hanging="1800"/>
      </w:pPr>
      <w:rPr>
        <w:rFonts w:hint="default" w:hAnsi="楷体"/>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4E9"/>
    <w:rsid w:val="00014D8B"/>
    <w:rsid w:val="000157D6"/>
    <w:rsid w:val="00017890"/>
    <w:rsid w:val="000211C3"/>
    <w:rsid w:val="000265D9"/>
    <w:rsid w:val="000342F2"/>
    <w:rsid w:val="00034CFA"/>
    <w:rsid w:val="00037A44"/>
    <w:rsid w:val="000416B0"/>
    <w:rsid w:val="000433B2"/>
    <w:rsid w:val="00044CDA"/>
    <w:rsid w:val="00045B5E"/>
    <w:rsid w:val="00046224"/>
    <w:rsid w:val="000478B3"/>
    <w:rsid w:val="00047B69"/>
    <w:rsid w:val="00047D32"/>
    <w:rsid w:val="00047E25"/>
    <w:rsid w:val="00055323"/>
    <w:rsid w:val="00056E5E"/>
    <w:rsid w:val="00056FF7"/>
    <w:rsid w:val="0006064C"/>
    <w:rsid w:val="00061FE6"/>
    <w:rsid w:val="00062965"/>
    <w:rsid w:val="00064CE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2EF6"/>
    <w:rsid w:val="000968B8"/>
    <w:rsid w:val="00096917"/>
    <w:rsid w:val="00097CB8"/>
    <w:rsid w:val="000A1C36"/>
    <w:rsid w:val="000A3585"/>
    <w:rsid w:val="000B032C"/>
    <w:rsid w:val="000B0C7B"/>
    <w:rsid w:val="000B43D7"/>
    <w:rsid w:val="000B59A0"/>
    <w:rsid w:val="000B686E"/>
    <w:rsid w:val="000B6D26"/>
    <w:rsid w:val="000B7F28"/>
    <w:rsid w:val="000C220D"/>
    <w:rsid w:val="000C3243"/>
    <w:rsid w:val="000C3DB4"/>
    <w:rsid w:val="000C5CCA"/>
    <w:rsid w:val="000C7B20"/>
    <w:rsid w:val="000D1005"/>
    <w:rsid w:val="000D44A3"/>
    <w:rsid w:val="000D48F6"/>
    <w:rsid w:val="000D5EBC"/>
    <w:rsid w:val="000D7867"/>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0247"/>
    <w:rsid w:val="001221AC"/>
    <w:rsid w:val="00126D6B"/>
    <w:rsid w:val="001273A0"/>
    <w:rsid w:val="00135F84"/>
    <w:rsid w:val="0013749A"/>
    <w:rsid w:val="0014296F"/>
    <w:rsid w:val="00146573"/>
    <w:rsid w:val="00150973"/>
    <w:rsid w:val="00150DC5"/>
    <w:rsid w:val="00151324"/>
    <w:rsid w:val="001516FC"/>
    <w:rsid w:val="00152DB1"/>
    <w:rsid w:val="00154A97"/>
    <w:rsid w:val="00156A0F"/>
    <w:rsid w:val="00162FD0"/>
    <w:rsid w:val="00170627"/>
    <w:rsid w:val="001706A3"/>
    <w:rsid w:val="001709E5"/>
    <w:rsid w:val="001767F2"/>
    <w:rsid w:val="00176A63"/>
    <w:rsid w:val="00182B40"/>
    <w:rsid w:val="00183749"/>
    <w:rsid w:val="00183B90"/>
    <w:rsid w:val="00184BC8"/>
    <w:rsid w:val="0018524D"/>
    <w:rsid w:val="00190D36"/>
    <w:rsid w:val="001A1AA6"/>
    <w:rsid w:val="001A71BF"/>
    <w:rsid w:val="001B22D3"/>
    <w:rsid w:val="001B46C8"/>
    <w:rsid w:val="001B5E69"/>
    <w:rsid w:val="001B66B7"/>
    <w:rsid w:val="001C0046"/>
    <w:rsid w:val="001C193E"/>
    <w:rsid w:val="001C1B9C"/>
    <w:rsid w:val="001C48A2"/>
    <w:rsid w:val="001C70F3"/>
    <w:rsid w:val="001C76A1"/>
    <w:rsid w:val="001D1927"/>
    <w:rsid w:val="001D1A07"/>
    <w:rsid w:val="001D1AB1"/>
    <w:rsid w:val="001D5B16"/>
    <w:rsid w:val="001D5BF3"/>
    <w:rsid w:val="001E02EE"/>
    <w:rsid w:val="001E2E0C"/>
    <w:rsid w:val="001E77E3"/>
    <w:rsid w:val="001E78DD"/>
    <w:rsid w:val="001F070F"/>
    <w:rsid w:val="001F0719"/>
    <w:rsid w:val="001F60BA"/>
    <w:rsid w:val="001F7EAC"/>
    <w:rsid w:val="00200DF3"/>
    <w:rsid w:val="0020155E"/>
    <w:rsid w:val="002069CB"/>
    <w:rsid w:val="00206DF4"/>
    <w:rsid w:val="002079E6"/>
    <w:rsid w:val="00216190"/>
    <w:rsid w:val="002162E3"/>
    <w:rsid w:val="002169CB"/>
    <w:rsid w:val="002236C2"/>
    <w:rsid w:val="00223DC2"/>
    <w:rsid w:val="00225D2F"/>
    <w:rsid w:val="0022654D"/>
    <w:rsid w:val="00226FB7"/>
    <w:rsid w:val="002270BE"/>
    <w:rsid w:val="00227EDE"/>
    <w:rsid w:val="00230743"/>
    <w:rsid w:val="002324F2"/>
    <w:rsid w:val="002333D1"/>
    <w:rsid w:val="00234B93"/>
    <w:rsid w:val="00236173"/>
    <w:rsid w:val="00236306"/>
    <w:rsid w:val="00241445"/>
    <w:rsid w:val="00241D32"/>
    <w:rsid w:val="00246D5C"/>
    <w:rsid w:val="002470C2"/>
    <w:rsid w:val="00251DEA"/>
    <w:rsid w:val="00252514"/>
    <w:rsid w:val="002629EE"/>
    <w:rsid w:val="0026474C"/>
    <w:rsid w:val="00264A30"/>
    <w:rsid w:val="0026588F"/>
    <w:rsid w:val="002712A1"/>
    <w:rsid w:val="00272208"/>
    <w:rsid w:val="00272F8B"/>
    <w:rsid w:val="002733A9"/>
    <w:rsid w:val="0028016E"/>
    <w:rsid w:val="00283806"/>
    <w:rsid w:val="002862FD"/>
    <w:rsid w:val="00293127"/>
    <w:rsid w:val="00295527"/>
    <w:rsid w:val="0029747E"/>
    <w:rsid w:val="00297D7D"/>
    <w:rsid w:val="002A1966"/>
    <w:rsid w:val="002A3924"/>
    <w:rsid w:val="002A443E"/>
    <w:rsid w:val="002A60EA"/>
    <w:rsid w:val="002A7F40"/>
    <w:rsid w:val="002B1504"/>
    <w:rsid w:val="002B1E9E"/>
    <w:rsid w:val="002B265C"/>
    <w:rsid w:val="002B6E1D"/>
    <w:rsid w:val="002B792B"/>
    <w:rsid w:val="002C0BEF"/>
    <w:rsid w:val="002C3F6F"/>
    <w:rsid w:val="002C419E"/>
    <w:rsid w:val="002C48E7"/>
    <w:rsid w:val="002D2E2D"/>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33D6"/>
    <w:rsid w:val="00314879"/>
    <w:rsid w:val="00314E00"/>
    <w:rsid w:val="00315A8A"/>
    <w:rsid w:val="00315E2E"/>
    <w:rsid w:val="00321127"/>
    <w:rsid w:val="00335CE0"/>
    <w:rsid w:val="003368E5"/>
    <w:rsid w:val="00337E4B"/>
    <w:rsid w:val="003402E6"/>
    <w:rsid w:val="0034035D"/>
    <w:rsid w:val="00342244"/>
    <w:rsid w:val="00345290"/>
    <w:rsid w:val="00345D48"/>
    <w:rsid w:val="0036034F"/>
    <w:rsid w:val="0036204F"/>
    <w:rsid w:val="0036213F"/>
    <w:rsid w:val="00362275"/>
    <w:rsid w:val="00363C01"/>
    <w:rsid w:val="003646DA"/>
    <w:rsid w:val="00364A74"/>
    <w:rsid w:val="00367BCC"/>
    <w:rsid w:val="00372885"/>
    <w:rsid w:val="00374B29"/>
    <w:rsid w:val="003769E1"/>
    <w:rsid w:val="003778FF"/>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3057"/>
    <w:rsid w:val="003D5614"/>
    <w:rsid w:val="003D6E8F"/>
    <w:rsid w:val="003D7765"/>
    <w:rsid w:val="003E6E13"/>
    <w:rsid w:val="003E743C"/>
    <w:rsid w:val="003F10EE"/>
    <w:rsid w:val="003F3D31"/>
    <w:rsid w:val="003F4121"/>
    <w:rsid w:val="003F41D3"/>
    <w:rsid w:val="003F486A"/>
    <w:rsid w:val="003F6F37"/>
    <w:rsid w:val="00401348"/>
    <w:rsid w:val="00402E23"/>
    <w:rsid w:val="0040312C"/>
    <w:rsid w:val="00405B00"/>
    <w:rsid w:val="004063C2"/>
    <w:rsid w:val="004067E7"/>
    <w:rsid w:val="00406C92"/>
    <w:rsid w:val="00407FF8"/>
    <w:rsid w:val="00411FF9"/>
    <w:rsid w:val="0041249C"/>
    <w:rsid w:val="00412E0B"/>
    <w:rsid w:val="00412EB8"/>
    <w:rsid w:val="00413169"/>
    <w:rsid w:val="00413322"/>
    <w:rsid w:val="004136AD"/>
    <w:rsid w:val="00413F9A"/>
    <w:rsid w:val="00416ECE"/>
    <w:rsid w:val="004218D7"/>
    <w:rsid w:val="00421DF1"/>
    <w:rsid w:val="0042426B"/>
    <w:rsid w:val="00425431"/>
    <w:rsid w:val="00425D6A"/>
    <w:rsid w:val="00427F76"/>
    <w:rsid w:val="00427FAC"/>
    <w:rsid w:val="00431608"/>
    <w:rsid w:val="004355FE"/>
    <w:rsid w:val="00435A23"/>
    <w:rsid w:val="00435C12"/>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85771"/>
    <w:rsid w:val="00485D62"/>
    <w:rsid w:val="00491327"/>
    <w:rsid w:val="0049208F"/>
    <w:rsid w:val="00493B4D"/>
    <w:rsid w:val="004941B7"/>
    <w:rsid w:val="0049566C"/>
    <w:rsid w:val="0049596F"/>
    <w:rsid w:val="004959D1"/>
    <w:rsid w:val="004964E1"/>
    <w:rsid w:val="00496584"/>
    <w:rsid w:val="004978ED"/>
    <w:rsid w:val="004A105A"/>
    <w:rsid w:val="004A15A2"/>
    <w:rsid w:val="004A1E16"/>
    <w:rsid w:val="004A2341"/>
    <w:rsid w:val="004A301F"/>
    <w:rsid w:val="004A49C1"/>
    <w:rsid w:val="004A5054"/>
    <w:rsid w:val="004B08E1"/>
    <w:rsid w:val="004B09FF"/>
    <w:rsid w:val="004B131C"/>
    <w:rsid w:val="004B1824"/>
    <w:rsid w:val="004B230E"/>
    <w:rsid w:val="004B24C2"/>
    <w:rsid w:val="004B3181"/>
    <w:rsid w:val="004B4679"/>
    <w:rsid w:val="004B4FA8"/>
    <w:rsid w:val="004B5F9C"/>
    <w:rsid w:val="004C08AD"/>
    <w:rsid w:val="004C1B7B"/>
    <w:rsid w:val="004C1E59"/>
    <w:rsid w:val="004C2B17"/>
    <w:rsid w:val="004C5C6A"/>
    <w:rsid w:val="004C5CDB"/>
    <w:rsid w:val="004C67ED"/>
    <w:rsid w:val="004C7F70"/>
    <w:rsid w:val="004D0FDE"/>
    <w:rsid w:val="004D239A"/>
    <w:rsid w:val="004D4D9B"/>
    <w:rsid w:val="004E0318"/>
    <w:rsid w:val="004E4634"/>
    <w:rsid w:val="004E5528"/>
    <w:rsid w:val="004E63F7"/>
    <w:rsid w:val="004F03BC"/>
    <w:rsid w:val="004F168B"/>
    <w:rsid w:val="004F227C"/>
    <w:rsid w:val="004F26DB"/>
    <w:rsid w:val="004F3E4E"/>
    <w:rsid w:val="004F4783"/>
    <w:rsid w:val="004F5600"/>
    <w:rsid w:val="004F56AC"/>
    <w:rsid w:val="004F6A9B"/>
    <w:rsid w:val="004F7147"/>
    <w:rsid w:val="004F73F2"/>
    <w:rsid w:val="00500B71"/>
    <w:rsid w:val="00501A86"/>
    <w:rsid w:val="00504BB1"/>
    <w:rsid w:val="0050534C"/>
    <w:rsid w:val="00506E96"/>
    <w:rsid w:val="005115DD"/>
    <w:rsid w:val="0051216D"/>
    <w:rsid w:val="00512448"/>
    <w:rsid w:val="00512FC4"/>
    <w:rsid w:val="0052014E"/>
    <w:rsid w:val="00521FB8"/>
    <w:rsid w:val="005222C7"/>
    <w:rsid w:val="005228D7"/>
    <w:rsid w:val="00523B1F"/>
    <w:rsid w:val="00524D34"/>
    <w:rsid w:val="00530D3A"/>
    <w:rsid w:val="00530D4E"/>
    <w:rsid w:val="005313BF"/>
    <w:rsid w:val="005313DE"/>
    <w:rsid w:val="005323BF"/>
    <w:rsid w:val="0053384F"/>
    <w:rsid w:val="00534872"/>
    <w:rsid w:val="005348DE"/>
    <w:rsid w:val="00542703"/>
    <w:rsid w:val="005448C0"/>
    <w:rsid w:val="00545FF0"/>
    <w:rsid w:val="00553274"/>
    <w:rsid w:val="005559A2"/>
    <w:rsid w:val="00557B9E"/>
    <w:rsid w:val="00562D14"/>
    <w:rsid w:val="00562D30"/>
    <w:rsid w:val="00565968"/>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3E84"/>
    <w:rsid w:val="005B4C28"/>
    <w:rsid w:val="005C057B"/>
    <w:rsid w:val="005C1CFB"/>
    <w:rsid w:val="005C26B3"/>
    <w:rsid w:val="005C35D3"/>
    <w:rsid w:val="005C3632"/>
    <w:rsid w:val="005C657A"/>
    <w:rsid w:val="005C6E39"/>
    <w:rsid w:val="005D2F11"/>
    <w:rsid w:val="005D3F0C"/>
    <w:rsid w:val="005D6745"/>
    <w:rsid w:val="005E0170"/>
    <w:rsid w:val="005E6511"/>
    <w:rsid w:val="005E7195"/>
    <w:rsid w:val="005F0BC0"/>
    <w:rsid w:val="005F0ED1"/>
    <w:rsid w:val="005F3C27"/>
    <w:rsid w:val="005F690E"/>
    <w:rsid w:val="00600715"/>
    <w:rsid w:val="00600A66"/>
    <w:rsid w:val="00600E77"/>
    <w:rsid w:val="00601435"/>
    <w:rsid w:val="0060236D"/>
    <w:rsid w:val="00605BE8"/>
    <w:rsid w:val="00610E5C"/>
    <w:rsid w:val="00613C98"/>
    <w:rsid w:val="0061765D"/>
    <w:rsid w:val="00617A39"/>
    <w:rsid w:val="0062125C"/>
    <w:rsid w:val="00621415"/>
    <w:rsid w:val="00621CBC"/>
    <w:rsid w:val="00623C08"/>
    <w:rsid w:val="006248CA"/>
    <w:rsid w:val="00631BF4"/>
    <w:rsid w:val="00631D73"/>
    <w:rsid w:val="00635E0E"/>
    <w:rsid w:val="0063665A"/>
    <w:rsid w:val="00636B8E"/>
    <w:rsid w:val="00641092"/>
    <w:rsid w:val="0064217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428B"/>
    <w:rsid w:val="00697DD7"/>
    <w:rsid w:val="006A0CA0"/>
    <w:rsid w:val="006A1681"/>
    <w:rsid w:val="006A2C44"/>
    <w:rsid w:val="006A4E85"/>
    <w:rsid w:val="006A6150"/>
    <w:rsid w:val="006B188D"/>
    <w:rsid w:val="006B2B19"/>
    <w:rsid w:val="006B2E18"/>
    <w:rsid w:val="006B536D"/>
    <w:rsid w:val="006B5BF3"/>
    <w:rsid w:val="006C0F80"/>
    <w:rsid w:val="006C5205"/>
    <w:rsid w:val="006C639D"/>
    <w:rsid w:val="006C72BD"/>
    <w:rsid w:val="006D0C7B"/>
    <w:rsid w:val="006D1B65"/>
    <w:rsid w:val="006D3B4D"/>
    <w:rsid w:val="006D3E95"/>
    <w:rsid w:val="006D4903"/>
    <w:rsid w:val="006D5C44"/>
    <w:rsid w:val="006E0418"/>
    <w:rsid w:val="006E114B"/>
    <w:rsid w:val="006E25C0"/>
    <w:rsid w:val="006E2B92"/>
    <w:rsid w:val="006E3064"/>
    <w:rsid w:val="006E5CF2"/>
    <w:rsid w:val="006F445E"/>
    <w:rsid w:val="006F4BD8"/>
    <w:rsid w:val="006F571C"/>
    <w:rsid w:val="006F57C2"/>
    <w:rsid w:val="006F5CF3"/>
    <w:rsid w:val="006F6A99"/>
    <w:rsid w:val="00712286"/>
    <w:rsid w:val="00714D64"/>
    <w:rsid w:val="00720C7F"/>
    <w:rsid w:val="00722CF2"/>
    <w:rsid w:val="00726D8B"/>
    <w:rsid w:val="00730FDD"/>
    <w:rsid w:val="00731A32"/>
    <w:rsid w:val="007331AD"/>
    <w:rsid w:val="00736996"/>
    <w:rsid w:val="0074090C"/>
    <w:rsid w:val="00740A99"/>
    <w:rsid w:val="00743165"/>
    <w:rsid w:val="007470CB"/>
    <w:rsid w:val="007474C1"/>
    <w:rsid w:val="007477F6"/>
    <w:rsid w:val="00747DB8"/>
    <w:rsid w:val="00751712"/>
    <w:rsid w:val="00753D7A"/>
    <w:rsid w:val="00754273"/>
    <w:rsid w:val="007544CE"/>
    <w:rsid w:val="0075509A"/>
    <w:rsid w:val="007568E5"/>
    <w:rsid w:val="00763AF9"/>
    <w:rsid w:val="00763EEF"/>
    <w:rsid w:val="0076412D"/>
    <w:rsid w:val="00764ACA"/>
    <w:rsid w:val="00764F28"/>
    <w:rsid w:val="007654C3"/>
    <w:rsid w:val="007663C0"/>
    <w:rsid w:val="007707C1"/>
    <w:rsid w:val="00771DD2"/>
    <w:rsid w:val="0077242B"/>
    <w:rsid w:val="00774107"/>
    <w:rsid w:val="00774F38"/>
    <w:rsid w:val="007776F7"/>
    <w:rsid w:val="00781302"/>
    <w:rsid w:val="00781AA3"/>
    <w:rsid w:val="00782C13"/>
    <w:rsid w:val="007834A5"/>
    <w:rsid w:val="00786077"/>
    <w:rsid w:val="00786DF6"/>
    <w:rsid w:val="00790D98"/>
    <w:rsid w:val="00794BDA"/>
    <w:rsid w:val="00795C61"/>
    <w:rsid w:val="00795D9A"/>
    <w:rsid w:val="007969BB"/>
    <w:rsid w:val="00796D8D"/>
    <w:rsid w:val="007A0262"/>
    <w:rsid w:val="007A17B8"/>
    <w:rsid w:val="007A2797"/>
    <w:rsid w:val="007A509F"/>
    <w:rsid w:val="007A6765"/>
    <w:rsid w:val="007A7ECC"/>
    <w:rsid w:val="007B1A8B"/>
    <w:rsid w:val="007B3E51"/>
    <w:rsid w:val="007B46E4"/>
    <w:rsid w:val="007B69E4"/>
    <w:rsid w:val="007C3DAD"/>
    <w:rsid w:val="007C4496"/>
    <w:rsid w:val="007C4AE3"/>
    <w:rsid w:val="007C580E"/>
    <w:rsid w:val="007D1976"/>
    <w:rsid w:val="007D373F"/>
    <w:rsid w:val="007D3A38"/>
    <w:rsid w:val="007D76B6"/>
    <w:rsid w:val="007F3B36"/>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26E9B"/>
    <w:rsid w:val="0083303E"/>
    <w:rsid w:val="00833452"/>
    <w:rsid w:val="00833ECE"/>
    <w:rsid w:val="008346C8"/>
    <w:rsid w:val="00835167"/>
    <w:rsid w:val="00835F3C"/>
    <w:rsid w:val="0083669B"/>
    <w:rsid w:val="00840C23"/>
    <w:rsid w:val="0084130C"/>
    <w:rsid w:val="00842FB4"/>
    <w:rsid w:val="00846950"/>
    <w:rsid w:val="0084799F"/>
    <w:rsid w:val="008514E7"/>
    <w:rsid w:val="00851E90"/>
    <w:rsid w:val="00852858"/>
    <w:rsid w:val="008531D4"/>
    <w:rsid w:val="00854D58"/>
    <w:rsid w:val="00856C67"/>
    <w:rsid w:val="00856C84"/>
    <w:rsid w:val="0085795F"/>
    <w:rsid w:val="008604DA"/>
    <w:rsid w:val="00862408"/>
    <w:rsid w:val="008625B0"/>
    <w:rsid w:val="00864522"/>
    <w:rsid w:val="008655CD"/>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6660"/>
    <w:rsid w:val="008974A9"/>
    <w:rsid w:val="00897B52"/>
    <w:rsid w:val="00897E1E"/>
    <w:rsid w:val="008A0341"/>
    <w:rsid w:val="008A2F34"/>
    <w:rsid w:val="008A676E"/>
    <w:rsid w:val="008A6F41"/>
    <w:rsid w:val="008A7F71"/>
    <w:rsid w:val="008B571C"/>
    <w:rsid w:val="008B7E13"/>
    <w:rsid w:val="008B7F5A"/>
    <w:rsid w:val="008C37B9"/>
    <w:rsid w:val="008D2926"/>
    <w:rsid w:val="008D6A9F"/>
    <w:rsid w:val="008E48DB"/>
    <w:rsid w:val="008E7275"/>
    <w:rsid w:val="008E7A72"/>
    <w:rsid w:val="008F00A8"/>
    <w:rsid w:val="008F3A61"/>
    <w:rsid w:val="0090255B"/>
    <w:rsid w:val="00902C52"/>
    <w:rsid w:val="00905B7E"/>
    <w:rsid w:val="00906F67"/>
    <w:rsid w:val="0091099A"/>
    <w:rsid w:val="00910E66"/>
    <w:rsid w:val="00913281"/>
    <w:rsid w:val="00914D1F"/>
    <w:rsid w:val="00916F05"/>
    <w:rsid w:val="00921850"/>
    <w:rsid w:val="00922A43"/>
    <w:rsid w:val="00924230"/>
    <w:rsid w:val="00925E52"/>
    <w:rsid w:val="009260BF"/>
    <w:rsid w:val="00932823"/>
    <w:rsid w:val="009332C8"/>
    <w:rsid w:val="00933FF2"/>
    <w:rsid w:val="00934768"/>
    <w:rsid w:val="00935624"/>
    <w:rsid w:val="00935712"/>
    <w:rsid w:val="00936311"/>
    <w:rsid w:val="0094191B"/>
    <w:rsid w:val="009439B7"/>
    <w:rsid w:val="00944DF7"/>
    <w:rsid w:val="0094748B"/>
    <w:rsid w:val="00951979"/>
    <w:rsid w:val="00955531"/>
    <w:rsid w:val="00955EB0"/>
    <w:rsid w:val="009613BA"/>
    <w:rsid w:val="00961B94"/>
    <w:rsid w:val="00962D9D"/>
    <w:rsid w:val="00963396"/>
    <w:rsid w:val="00965712"/>
    <w:rsid w:val="00971673"/>
    <w:rsid w:val="009719C9"/>
    <w:rsid w:val="009731D6"/>
    <w:rsid w:val="00975873"/>
    <w:rsid w:val="0098031B"/>
    <w:rsid w:val="0098122D"/>
    <w:rsid w:val="00982220"/>
    <w:rsid w:val="009837AD"/>
    <w:rsid w:val="00984CD9"/>
    <w:rsid w:val="009850C6"/>
    <w:rsid w:val="009870D3"/>
    <w:rsid w:val="00990178"/>
    <w:rsid w:val="0099094C"/>
    <w:rsid w:val="00992B3D"/>
    <w:rsid w:val="0099305A"/>
    <w:rsid w:val="00993414"/>
    <w:rsid w:val="00993425"/>
    <w:rsid w:val="00994EBA"/>
    <w:rsid w:val="00995F24"/>
    <w:rsid w:val="009A01A2"/>
    <w:rsid w:val="009A270B"/>
    <w:rsid w:val="009A47D0"/>
    <w:rsid w:val="009A48A2"/>
    <w:rsid w:val="009A770F"/>
    <w:rsid w:val="009B19E3"/>
    <w:rsid w:val="009B1E46"/>
    <w:rsid w:val="009B325F"/>
    <w:rsid w:val="009B3DF3"/>
    <w:rsid w:val="009B690C"/>
    <w:rsid w:val="009C6FBB"/>
    <w:rsid w:val="009C7295"/>
    <w:rsid w:val="009C7892"/>
    <w:rsid w:val="009C7E2D"/>
    <w:rsid w:val="009D1591"/>
    <w:rsid w:val="009D2257"/>
    <w:rsid w:val="009D2CB7"/>
    <w:rsid w:val="009D473D"/>
    <w:rsid w:val="009D7336"/>
    <w:rsid w:val="009D733E"/>
    <w:rsid w:val="009E3436"/>
    <w:rsid w:val="009F0543"/>
    <w:rsid w:val="009F0DE1"/>
    <w:rsid w:val="009F1993"/>
    <w:rsid w:val="009F2AC7"/>
    <w:rsid w:val="009F2CD3"/>
    <w:rsid w:val="009F2E82"/>
    <w:rsid w:val="009F3CB4"/>
    <w:rsid w:val="009F7CAE"/>
    <w:rsid w:val="00A01A3C"/>
    <w:rsid w:val="00A03023"/>
    <w:rsid w:val="00A03762"/>
    <w:rsid w:val="00A061F7"/>
    <w:rsid w:val="00A108AF"/>
    <w:rsid w:val="00A10E4B"/>
    <w:rsid w:val="00A12E06"/>
    <w:rsid w:val="00A13E22"/>
    <w:rsid w:val="00A14B52"/>
    <w:rsid w:val="00A14E59"/>
    <w:rsid w:val="00A160A2"/>
    <w:rsid w:val="00A163B6"/>
    <w:rsid w:val="00A176AA"/>
    <w:rsid w:val="00A21ABF"/>
    <w:rsid w:val="00A227E8"/>
    <w:rsid w:val="00A24B69"/>
    <w:rsid w:val="00A253F4"/>
    <w:rsid w:val="00A31FF9"/>
    <w:rsid w:val="00A328BC"/>
    <w:rsid w:val="00A33360"/>
    <w:rsid w:val="00A35095"/>
    <w:rsid w:val="00A3576C"/>
    <w:rsid w:val="00A36165"/>
    <w:rsid w:val="00A37FC7"/>
    <w:rsid w:val="00A4022F"/>
    <w:rsid w:val="00A4316A"/>
    <w:rsid w:val="00A45773"/>
    <w:rsid w:val="00A45D8B"/>
    <w:rsid w:val="00A513BA"/>
    <w:rsid w:val="00A54287"/>
    <w:rsid w:val="00A54D9E"/>
    <w:rsid w:val="00A56183"/>
    <w:rsid w:val="00A57300"/>
    <w:rsid w:val="00A610B0"/>
    <w:rsid w:val="00A709E9"/>
    <w:rsid w:val="00A71651"/>
    <w:rsid w:val="00A739F1"/>
    <w:rsid w:val="00A74D88"/>
    <w:rsid w:val="00A74E24"/>
    <w:rsid w:val="00A75E8A"/>
    <w:rsid w:val="00A75F65"/>
    <w:rsid w:val="00A77E58"/>
    <w:rsid w:val="00A80316"/>
    <w:rsid w:val="00A813A5"/>
    <w:rsid w:val="00A81D3E"/>
    <w:rsid w:val="00A83D6D"/>
    <w:rsid w:val="00A85017"/>
    <w:rsid w:val="00A862B4"/>
    <w:rsid w:val="00A86404"/>
    <w:rsid w:val="00A87A83"/>
    <w:rsid w:val="00A87BC1"/>
    <w:rsid w:val="00AA0E4C"/>
    <w:rsid w:val="00AA2540"/>
    <w:rsid w:val="00AA38CF"/>
    <w:rsid w:val="00AB2A51"/>
    <w:rsid w:val="00AB756A"/>
    <w:rsid w:val="00AC1D45"/>
    <w:rsid w:val="00AE0F51"/>
    <w:rsid w:val="00AE109B"/>
    <w:rsid w:val="00AE1AD2"/>
    <w:rsid w:val="00AE4FD3"/>
    <w:rsid w:val="00AE68A0"/>
    <w:rsid w:val="00AF1143"/>
    <w:rsid w:val="00AF1402"/>
    <w:rsid w:val="00AF3482"/>
    <w:rsid w:val="00AF4FB7"/>
    <w:rsid w:val="00AF51C5"/>
    <w:rsid w:val="00B00691"/>
    <w:rsid w:val="00B06408"/>
    <w:rsid w:val="00B07BBC"/>
    <w:rsid w:val="00B139F1"/>
    <w:rsid w:val="00B14A21"/>
    <w:rsid w:val="00B14A24"/>
    <w:rsid w:val="00B2233B"/>
    <w:rsid w:val="00B23A1C"/>
    <w:rsid w:val="00B26850"/>
    <w:rsid w:val="00B318C0"/>
    <w:rsid w:val="00B329F8"/>
    <w:rsid w:val="00B32A3F"/>
    <w:rsid w:val="00B34345"/>
    <w:rsid w:val="00B34435"/>
    <w:rsid w:val="00B34814"/>
    <w:rsid w:val="00B34E35"/>
    <w:rsid w:val="00B34FAB"/>
    <w:rsid w:val="00B372AC"/>
    <w:rsid w:val="00B41EC7"/>
    <w:rsid w:val="00B423B4"/>
    <w:rsid w:val="00B43079"/>
    <w:rsid w:val="00B461DC"/>
    <w:rsid w:val="00B50792"/>
    <w:rsid w:val="00B52D81"/>
    <w:rsid w:val="00B55BFD"/>
    <w:rsid w:val="00B56A85"/>
    <w:rsid w:val="00B60AD4"/>
    <w:rsid w:val="00B60E96"/>
    <w:rsid w:val="00B61B8C"/>
    <w:rsid w:val="00B65B54"/>
    <w:rsid w:val="00B66FA6"/>
    <w:rsid w:val="00B678DE"/>
    <w:rsid w:val="00B73A79"/>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B7F68"/>
    <w:rsid w:val="00BC5846"/>
    <w:rsid w:val="00BC5BDC"/>
    <w:rsid w:val="00BD2E89"/>
    <w:rsid w:val="00BD5056"/>
    <w:rsid w:val="00BD7471"/>
    <w:rsid w:val="00BE0C5B"/>
    <w:rsid w:val="00BE0E07"/>
    <w:rsid w:val="00BE2846"/>
    <w:rsid w:val="00BE6376"/>
    <w:rsid w:val="00BE79AF"/>
    <w:rsid w:val="00BE7F4B"/>
    <w:rsid w:val="00BF0CB1"/>
    <w:rsid w:val="00BF3092"/>
    <w:rsid w:val="00BF4A5B"/>
    <w:rsid w:val="00BF51D8"/>
    <w:rsid w:val="00BF56B8"/>
    <w:rsid w:val="00BF6285"/>
    <w:rsid w:val="00BF6CC5"/>
    <w:rsid w:val="00BF72A2"/>
    <w:rsid w:val="00BF7971"/>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6A5"/>
    <w:rsid w:val="00C24F61"/>
    <w:rsid w:val="00C256D4"/>
    <w:rsid w:val="00C25A1E"/>
    <w:rsid w:val="00C312A6"/>
    <w:rsid w:val="00C34295"/>
    <w:rsid w:val="00C358D4"/>
    <w:rsid w:val="00C37348"/>
    <w:rsid w:val="00C443F1"/>
    <w:rsid w:val="00C44C6C"/>
    <w:rsid w:val="00C45EFB"/>
    <w:rsid w:val="00C47DAD"/>
    <w:rsid w:val="00C50F37"/>
    <w:rsid w:val="00C548D4"/>
    <w:rsid w:val="00C6013A"/>
    <w:rsid w:val="00C61438"/>
    <w:rsid w:val="00C626FE"/>
    <w:rsid w:val="00C64F1D"/>
    <w:rsid w:val="00C67022"/>
    <w:rsid w:val="00C67780"/>
    <w:rsid w:val="00C739C9"/>
    <w:rsid w:val="00C747F4"/>
    <w:rsid w:val="00C774B0"/>
    <w:rsid w:val="00C8307E"/>
    <w:rsid w:val="00C8722F"/>
    <w:rsid w:val="00C90300"/>
    <w:rsid w:val="00C91B56"/>
    <w:rsid w:val="00C942F1"/>
    <w:rsid w:val="00C944BA"/>
    <w:rsid w:val="00C94EE8"/>
    <w:rsid w:val="00C970B9"/>
    <w:rsid w:val="00CA028A"/>
    <w:rsid w:val="00CA2163"/>
    <w:rsid w:val="00CA5707"/>
    <w:rsid w:val="00CB33BC"/>
    <w:rsid w:val="00CB3BA1"/>
    <w:rsid w:val="00CB40A1"/>
    <w:rsid w:val="00CB4542"/>
    <w:rsid w:val="00CB6641"/>
    <w:rsid w:val="00CC32FC"/>
    <w:rsid w:val="00CC7C0B"/>
    <w:rsid w:val="00CD0CDB"/>
    <w:rsid w:val="00CD1475"/>
    <w:rsid w:val="00CD1F5B"/>
    <w:rsid w:val="00CD62ED"/>
    <w:rsid w:val="00CE0C55"/>
    <w:rsid w:val="00CE1589"/>
    <w:rsid w:val="00CE25A2"/>
    <w:rsid w:val="00CE2B5C"/>
    <w:rsid w:val="00CE41FF"/>
    <w:rsid w:val="00CE4F0C"/>
    <w:rsid w:val="00CE57EC"/>
    <w:rsid w:val="00CF19FA"/>
    <w:rsid w:val="00CF6250"/>
    <w:rsid w:val="00D01DBE"/>
    <w:rsid w:val="00D02B8E"/>
    <w:rsid w:val="00D0333D"/>
    <w:rsid w:val="00D069E9"/>
    <w:rsid w:val="00D0780D"/>
    <w:rsid w:val="00D113C2"/>
    <w:rsid w:val="00D11AAF"/>
    <w:rsid w:val="00D1626C"/>
    <w:rsid w:val="00D219E4"/>
    <w:rsid w:val="00D21BFB"/>
    <w:rsid w:val="00D24586"/>
    <w:rsid w:val="00D30372"/>
    <w:rsid w:val="00D30AA4"/>
    <w:rsid w:val="00D30CA6"/>
    <w:rsid w:val="00D346D0"/>
    <w:rsid w:val="00D37086"/>
    <w:rsid w:val="00D37492"/>
    <w:rsid w:val="00D4391D"/>
    <w:rsid w:val="00D4445D"/>
    <w:rsid w:val="00D45157"/>
    <w:rsid w:val="00D5086A"/>
    <w:rsid w:val="00D50B6A"/>
    <w:rsid w:val="00D53643"/>
    <w:rsid w:val="00D60675"/>
    <w:rsid w:val="00D61020"/>
    <w:rsid w:val="00D6336E"/>
    <w:rsid w:val="00D64D1A"/>
    <w:rsid w:val="00D66838"/>
    <w:rsid w:val="00D66BEB"/>
    <w:rsid w:val="00D7044E"/>
    <w:rsid w:val="00D70F38"/>
    <w:rsid w:val="00D73931"/>
    <w:rsid w:val="00D7452D"/>
    <w:rsid w:val="00D762AE"/>
    <w:rsid w:val="00D82212"/>
    <w:rsid w:val="00D84AE3"/>
    <w:rsid w:val="00D860E9"/>
    <w:rsid w:val="00D86C52"/>
    <w:rsid w:val="00D922B7"/>
    <w:rsid w:val="00D968B2"/>
    <w:rsid w:val="00D96E53"/>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D11"/>
    <w:rsid w:val="00E151B2"/>
    <w:rsid w:val="00E2087A"/>
    <w:rsid w:val="00E26BF7"/>
    <w:rsid w:val="00E277D8"/>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4032"/>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0CE"/>
    <w:rsid w:val="00ED225D"/>
    <w:rsid w:val="00ED35B0"/>
    <w:rsid w:val="00ED40F1"/>
    <w:rsid w:val="00ED4DD3"/>
    <w:rsid w:val="00ED7E23"/>
    <w:rsid w:val="00EE0A96"/>
    <w:rsid w:val="00EE1E5D"/>
    <w:rsid w:val="00EE463F"/>
    <w:rsid w:val="00EE4AD2"/>
    <w:rsid w:val="00EE5C0C"/>
    <w:rsid w:val="00EE682E"/>
    <w:rsid w:val="00EF01DD"/>
    <w:rsid w:val="00EF0674"/>
    <w:rsid w:val="00EF1A0F"/>
    <w:rsid w:val="00EF2133"/>
    <w:rsid w:val="00EF269E"/>
    <w:rsid w:val="00EF51CB"/>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0EB3"/>
    <w:rsid w:val="00F4296C"/>
    <w:rsid w:val="00F4417C"/>
    <w:rsid w:val="00F47CF6"/>
    <w:rsid w:val="00F50125"/>
    <w:rsid w:val="00F50684"/>
    <w:rsid w:val="00F515C3"/>
    <w:rsid w:val="00F518E5"/>
    <w:rsid w:val="00F54885"/>
    <w:rsid w:val="00F60276"/>
    <w:rsid w:val="00F61AB0"/>
    <w:rsid w:val="00F65BA6"/>
    <w:rsid w:val="00F67AE2"/>
    <w:rsid w:val="00F7530D"/>
    <w:rsid w:val="00F824C0"/>
    <w:rsid w:val="00F8568E"/>
    <w:rsid w:val="00F86FBD"/>
    <w:rsid w:val="00F873C4"/>
    <w:rsid w:val="00F90F75"/>
    <w:rsid w:val="00F92CAC"/>
    <w:rsid w:val="00F942E5"/>
    <w:rsid w:val="00F97D7C"/>
    <w:rsid w:val="00F97F9E"/>
    <w:rsid w:val="00FA0425"/>
    <w:rsid w:val="00FA19F4"/>
    <w:rsid w:val="00FA384F"/>
    <w:rsid w:val="00FA40C1"/>
    <w:rsid w:val="00FB195C"/>
    <w:rsid w:val="00FB3AB4"/>
    <w:rsid w:val="00FB6890"/>
    <w:rsid w:val="00FC2025"/>
    <w:rsid w:val="00FC3E19"/>
    <w:rsid w:val="00FC57EA"/>
    <w:rsid w:val="00FD0275"/>
    <w:rsid w:val="00FD395E"/>
    <w:rsid w:val="00FD478C"/>
    <w:rsid w:val="00FD55F3"/>
    <w:rsid w:val="00FD730B"/>
    <w:rsid w:val="00FD7CAD"/>
    <w:rsid w:val="00FE0ACD"/>
    <w:rsid w:val="00FE45EF"/>
    <w:rsid w:val="00FE5C67"/>
    <w:rsid w:val="00FE71F1"/>
    <w:rsid w:val="00FE779E"/>
    <w:rsid w:val="00FF0F19"/>
    <w:rsid w:val="00FF3198"/>
    <w:rsid w:val="00FF4286"/>
    <w:rsid w:val="00FF59DB"/>
    <w:rsid w:val="05670E4A"/>
    <w:rsid w:val="08191D6D"/>
    <w:rsid w:val="08881EFF"/>
    <w:rsid w:val="0E601EEA"/>
    <w:rsid w:val="12D7558D"/>
    <w:rsid w:val="172A18D5"/>
    <w:rsid w:val="1860438A"/>
    <w:rsid w:val="22E71602"/>
    <w:rsid w:val="302D2F5A"/>
    <w:rsid w:val="34B715BD"/>
    <w:rsid w:val="38686C22"/>
    <w:rsid w:val="397404EE"/>
    <w:rsid w:val="3BBB7324"/>
    <w:rsid w:val="400A2BB6"/>
    <w:rsid w:val="4A5F4AA8"/>
    <w:rsid w:val="4B234021"/>
    <w:rsid w:val="54921884"/>
    <w:rsid w:val="5655691D"/>
    <w:rsid w:val="5D773BA7"/>
    <w:rsid w:val="5DF544A9"/>
    <w:rsid w:val="614D7A91"/>
    <w:rsid w:val="64E863E3"/>
    <w:rsid w:val="666C2141"/>
    <w:rsid w:val="66A01E10"/>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2"/>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14">
    <w:name w:val="Default Paragraph Font"/>
    <w:semiHidden/>
    <w:unhideWhenUsed/>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3">
    <w:name w:val="Normal Indent"/>
    <w:basedOn w:val="1"/>
    <w:link w:val="30"/>
    <w:qFormat/>
    <w:locked/>
    <w:uiPriority w:val="99"/>
    <w:pPr>
      <w:ind w:firstLine="420"/>
    </w:pPr>
    <w:rPr>
      <w:rFonts w:ascii="Calibri" w:hAnsi="Calibri"/>
    </w:rPr>
  </w:style>
  <w:style w:type="paragraph" w:styleId="4">
    <w:name w:val="annotation text"/>
    <w:basedOn w:val="1"/>
    <w:link w:val="18"/>
    <w:semiHidden/>
    <w:qFormat/>
    <w:uiPriority w:val="99"/>
    <w:pPr>
      <w:jc w:val="left"/>
    </w:pPr>
    <w:rPr>
      <w:rFonts w:ascii="Calibri" w:hAnsi="Calibri"/>
    </w:rPr>
  </w:style>
  <w:style w:type="paragraph" w:styleId="5">
    <w:name w:val="Body Text Indent"/>
    <w:basedOn w:val="1"/>
    <w:link w:val="19"/>
    <w:qFormat/>
    <w:locked/>
    <w:uiPriority w:val="99"/>
    <w:pPr>
      <w:tabs>
        <w:tab w:val="left" w:pos="900"/>
      </w:tabs>
      <w:adjustRightInd w:val="0"/>
      <w:spacing w:line="360" w:lineRule="auto"/>
      <w:ind w:firstLine="510"/>
    </w:pPr>
    <w:rPr>
      <w:kern w:val="0"/>
      <w:sz w:val="20"/>
    </w:rPr>
  </w:style>
  <w:style w:type="paragraph" w:styleId="6">
    <w:name w:val="Plain Text"/>
    <w:basedOn w:val="1"/>
    <w:link w:val="26"/>
    <w:qFormat/>
    <w:uiPriority w:val="99"/>
    <w:rPr>
      <w:rFonts w:ascii="宋体" w:hAnsi="Courier New"/>
      <w:kern w:val="0"/>
    </w:rPr>
  </w:style>
  <w:style w:type="paragraph" w:styleId="7">
    <w:name w:val="Balloon Text"/>
    <w:basedOn w:val="1"/>
    <w:link w:val="21"/>
    <w:semiHidden/>
    <w:qFormat/>
    <w:uiPriority w:val="99"/>
    <w:rPr>
      <w:sz w:val="18"/>
    </w:rPr>
  </w:style>
  <w:style w:type="paragraph" w:styleId="8">
    <w:name w:val="footer"/>
    <w:basedOn w:val="1"/>
    <w:link w:val="22"/>
    <w:qFormat/>
    <w:uiPriority w:val="99"/>
    <w:pPr>
      <w:tabs>
        <w:tab w:val="center" w:pos="4153"/>
        <w:tab w:val="right" w:pos="8306"/>
      </w:tabs>
      <w:snapToGrid w:val="0"/>
      <w:jc w:val="left"/>
    </w:pPr>
    <w:rPr>
      <w:kern w:val="0"/>
      <w:sz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4"/>
    <w:semiHidden/>
    <w:qFormat/>
    <w:uiPriority w:val="99"/>
    <w:rPr>
      <w:rFonts w:ascii="Times New Roman" w:hAnsi="Times New Roman"/>
      <w:b/>
      <w:sz w:val="20"/>
    </w:rPr>
  </w:style>
  <w:style w:type="table" w:styleId="13">
    <w:name w:val="Table Grid"/>
    <w:basedOn w:val="12"/>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5">
    <w:name w:val="page number"/>
    <w:qFormat/>
    <w:uiPriority w:val="99"/>
    <w:rPr>
      <w:rFonts w:cs="Times New Roman"/>
    </w:rPr>
  </w:style>
  <w:style w:type="character" w:styleId="16">
    <w:name w:val="Hyperlink"/>
    <w:qFormat/>
    <w:locked/>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字符"/>
    <w:link w:val="4"/>
    <w:semiHidden/>
    <w:qFormat/>
    <w:locked/>
    <w:uiPriority w:val="99"/>
    <w:rPr>
      <w:rFonts w:eastAsia="宋体" w:cs="Times New Roman"/>
      <w:kern w:val="2"/>
      <w:sz w:val="21"/>
      <w:lang w:val="en-US" w:eastAsia="zh-CN"/>
    </w:rPr>
  </w:style>
  <w:style w:type="character" w:customStyle="1" w:styleId="19">
    <w:name w:val="正文文本缩进 字符"/>
    <w:link w:val="5"/>
    <w:semiHidden/>
    <w:qFormat/>
    <w:locked/>
    <w:uiPriority w:val="99"/>
    <w:rPr>
      <w:rFonts w:ascii="Times New Roman" w:hAnsi="Times New Roman" w:cs="Times New Roman"/>
      <w:sz w:val="20"/>
      <w:szCs w:val="20"/>
    </w:rPr>
  </w:style>
  <w:style w:type="character" w:customStyle="1" w:styleId="20">
    <w:name w:val="Plain Text Char"/>
    <w:qFormat/>
    <w:locked/>
    <w:uiPriority w:val="99"/>
    <w:rPr>
      <w:rFonts w:ascii="宋体" w:hAnsi="Courier New" w:eastAsia="宋体" w:cs="Times New Roman"/>
      <w:sz w:val="21"/>
    </w:rPr>
  </w:style>
  <w:style w:type="character" w:customStyle="1" w:styleId="21">
    <w:name w:val="批注框文本 字符"/>
    <w:link w:val="7"/>
    <w:semiHidden/>
    <w:qFormat/>
    <w:locked/>
    <w:uiPriority w:val="99"/>
    <w:rPr>
      <w:rFonts w:ascii="Times New Roman" w:hAnsi="Times New Roman" w:cs="Times New Roman"/>
      <w:kern w:val="2"/>
      <w:sz w:val="18"/>
    </w:rPr>
  </w:style>
  <w:style w:type="character" w:customStyle="1" w:styleId="22">
    <w:name w:val="页脚 字符"/>
    <w:link w:val="8"/>
    <w:qFormat/>
    <w:locked/>
    <w:uiPriority w:val="99"/>
    <w:rPr>
      <w:rFonts w:ascii="Times New Roman" w:hAnsi="Times New Roman" w:eastAsia="宋体" w:cs="Times New Roman"/>
      <w:sz w:val="18"/>
    </w:rPr>
  </w:style>
  <w:style w:type="character" w:customStyle="1" w:styleId="23">
    <w:name w:val="页眉 字符"/>
    <w:link w:val="9"/>
    <w:qFormat/>
    <w:locked/>
    <w:uiPriority w:val="99"/>
    <w:rPr>
      <w:rFonts w:ascii="Times New Roman" w:hAnsi="Times New Roman" w:eastAsia="宋体" w:cs="Times New Roman"/>
      <w:sz w:val="18"/>
    </w:rPr>
  </w:style>
  <w:style w:type="character" w:customStyle="1" w:styleId="24">
    <w:name w:val="批注主题 字符"/>
    <w:link w:val="11"/>
    <w:semiHidden/>
    <w:qFormat/>
    <w:locked/>
    <w:uiPriority w:val="99"/>
    <w:rPr>
      <w:rFonts w:ascii="Times New Roman" w:hAnsi="Times New Roman" w:eastAsia="宋体" w:cs="Times New Roman"/>
      <w:b/>
      <w:kern w:val="2"/>
      <w:sz w:val="20"/>
      <w:lang w:val="en-US" w:eastAsia="zh-CN"/>
    </w:rPr>
  </w:style>
  <w:style w:type="character" w:customStyle="1" w:styleId="25">
    <w:name w:val="Plain Text Char1"/>
    <w:semiHidden/>
    <w:qFormat/>
    <w:locked/>
    <w:uiPriority w:val="99"/>
    <w:rPr>
      <w:rFonts w:ascii="宋体" w:hAnsi="Courier New"/>
      <w:sz w:val="21"/>
    </w:rPr>
  </w:style>
  <w:style w:type="character" w:customStyle="1" w:styleId="26">
    <w:name w:val="纯文本 字符"/>
    <w:link w:val="6"/>
    <w:semiHidden/>
    <w:qFormat/>
    <w:locked/>
    <w:uiPriority w:val="99"/>
    <w:rPr>
      <w:rFonts w:ascii="宋体" w:hAnsi="Courier New" w:eastAsia="宋体"/>
      <w:sz w:val="21"/>
    </w:rPr>
  </w:style>
  <w:style w:type="paragraph" w:styleId="27">
    <w:name w:val="List Paragraph"/>
    <w:basedOn w:val="1"/>
    <w:qFormat/>
    <w:uiPriority w:val="34"/>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字符"/>
    <w:link w:val="3"/>
    <w:qFormat/>
    <w:locked/>
    <w:uiPriority w:val="99"/>
    <w:rPr>
      <w:kern w:val="2"/>
      <w:sz w:val="21"/>
    </w:rPr>
  </w:style>
  <w:style w:type="character" w:customStyle="1" w:styleId="31">
    <w:name w:val="show"/>
    <w:basedOn w:val="14"/>
    <w:qFormat/>
    <w:uiPriority w:val="0"/>
  </w:style>
  <w:style w:type="character" w:customStyle="1" w:styleId="32">
    <w:name w:val="标题 3 字符"/>
    <w:basedOn w:val="14"/>
    <w:link w:val="2"/>
    <w:qFormat/>
    <w:uiPriority w:val="9"/>
    <w:rPr>
      <w:rFonts w:ascii="宋体" w:hAnsi="宋体" w:cs="宋体"/>
      <w:b/>
      <w:bCs/>
      <w:sz w:val="27"/>
      <w:szCs w:val="27"/>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C0F761-3CE6-4242-BC38-D9865B81A9B4}">
  <ds:schemaRefs/>
</ds:datastoreItem>
</file>

<file path=docProps/app.xml><?xml version="1.0" encoding="utf-8"?>
<Properties xmlns="http://schemas.openxmlformats.org/officeDocument/2006/extended-properties" xmlns:vt="http://schemas.openxmlformats.org/officeDocument/2006/docPropsVTypes">
  <Template>Normal</Template>
  <Pages>34</Pages>
  <Words>2827</Words>
  <Characters>16120</Characters>
  <Lines>134</Lines>
  <Paragraphs>37</Paragraphs>
  <TotalTime>495</TotalTime>
  <ScaleCrop>false</ScaleCrop>
  <LinksUpToDate>false</LinksUpToDate>
  <CharactersWithSpaces>18910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2019-05-06T04:52:00Z</dcterms:created>
  <dc:creator>fan</dc:creator>
  <cp:lastModifiedBy>王树乔</cp:lastModifiedBy>
  <cp:lastPrinted>2019-05-27T08:33:00Z</cp:lastPrinted>
  <dcterms:modified xsi:type="dcterms:W3CDTF">2019-05-28T09:43:12Z</dcterms:modified>
  <dc:title>淮阴工学院</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