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sz w:val="32"/>
          <w:szCs w:val="32"/>
          <w:u w:val="single"/>
        </w:rPr>
      </w:pPr>
    </w:p>
    <w:p>
      <w:pPr>
        <w:adjustRightInd w:val="0"/>
        <w:snapToGrid w:val="0"/>
        <w:spacing w:line="300" w:lineRule="auto"/>
        <w:jc w:val="center"/>
        <w:rPr>
          <w:rFonts w:ascii="Cambria" w:hAnsi="Cambria"/>
          <w:b/>
          <w:sz w:val="32"/>
          <w:szCs w:val="32"/>
          <w:u w:val="single"/>
        </w:rPr>
      </w:pPr>
    </w:p>
    <w:p>
      <w:pPr>
        <w:autoSpaceDE w:val="0"/>
        <w:autoSpaceDN w:val="0"/>
        <w:spacing w:line="480" w:lineRule="auto"/>
        <w:jc w:val="center"/>
        <w:rPr>
          <w:rFonts w:ascii="黑体" w:hAnsi="黑体" w:eastAsia="黑体"/>
          <w:kern w:val="0"/>
          <w:sz w:val="44"/>
          <w:szCs w:val="44"/>
        </w:rPr>
      </w:pPr>
      <w:r>
        <w:rPr>
          <w:rFonts w:hint="eastAsia" w:ascii="黑体" w:hAnsi="黑体" w:eastAsia="黑体"/>
          <w:kern w:val="0"/>
          <w:sz w:val="44"/>
          <w:szCs w:val="44"/>
        </w:rPr>
        <w:t>淮阴工学院</w:t>
      </w:r>
    </w:p>
    <w:p>
      <w:pPr>
        <w:spacing w:line="480" w:lineRule="auto"/>
        <w:jc w:val="center"/>
        <w:rPr>
          <w:rFonts w:ascii="黑体" w:hAnsi="黑体" w:eastAsia="黑体"/>
          <w:kern w:val="0"/>
          <w:sz w:val="36"/>
          <w:szCs w:val="36"/>
        </w:rPr>
      </w:pPr>
      <w:r>
        <w:rPr>
          <w:rFonts w:hint="eastAsia" w:ascii="黑体" w:hAnsi="黑体" w:eastAsia="黑体"/>
          <w:b/>
          <w:bCs/>
          <w:kern w:val="0"/>
          <w:sz w:val="36"/>
          <w:szCs w:val="36"/>
        </w:rPr>
        <w:t>钢铁企业配电系统优化虚拟仿真项目</w:t>
      </w:r>
      <w:r>
        <w:rPr>
          <w:rFonts w:hint="eastAsia" w:ascii="黑体" w:hAnsi="黑体" w:eastAsia="黑体"/>
          <w:kern w:val="0"/>
          <w:sz w:val="36"/>
          <w:szCs w:val="36"/>
        </w:rPr>
        <w:t>采购</w:t>
      </w:r>
    </w:p>
    <w:p>
      <w:pPr>
        <w:ind w:left="-139" w:leftChars="-90" w:hanging="50" w:hangingChars="24"/>
        <w:jc w:val="center"/>
        <w:rPr>
          <w:rFonts w:ascii="黑体" w:hAnsi="黑体" w:eastAsia="黑体"/>
          <w:b/>
          <w:snapToGrid w:val="0"/>
          <w:szCs w:val="21"/>
        </w:rPr>
      </w:pPr>
    </w:p>
    <w:p>
      <w:pPr>
        <w:ind w:left="-122" w:leftChars="-90" w:hanging="67" w:hangingChars="24"/>
        <w:jc w:val="center"/>
        <w:rPr>
          <w:rFonts w:ascii="黑体" w:hAnsi="黑体" w:eastAsia="黑体"/>
          <w:b/>
          <w:snapToGrid w:val="0"/>
          <w:sz w:val="28"/>
          <w:szCs w:val="28"/>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jc w:val="center"/>
        <w:rPr>
          <w:rFonts w:ascii="黑体" w:hAnsi="黑体" w:eastAsia="黑体"/>
          <w:b/>
          <w:snapToGrid w:val="0"/>
          <w:sz w:val="84"/>
          <w:szCs w:val="84"/>
        </w:rPr>
      </w:pPr>
      <w:r>
        <w:rPr>
          <w:rFonts w:hint="eastAsia" w:ascii="黑体" w:hAnsi="黑体" w:eastAsia="黑体"/>
          <w:b/>
          <w:snapToGrid w:val="0"/>
          <w:sz w:val="84"/>
          <w:szCs w:val="84"/>
        </w:rPr>
        <w:t>竞争性磋商文件</w:t>
      </w:r>
    </w:p>
    <w:p>
      <w:pPr>
        <w:pStyle w:val="6"/>
        <w:adjustRightInd w:val="0"/>
        <w:snapToGrid w:val="0"/>
        <w:spacing w:line="300" w:lineRule="auto"/>
        <w:jc w:val="center"/>
        <w:rPr>
          <w:rFonts w:ascii="黑体" w:hAnsi="黑体" w:eastAsia="黑体"/>
        </w:rPr>
      </w:pPr>
    </w:p>
    <w:p>
      <w:pPr>
        <w:adjustRightInd w:val="0"/>
        <w:snapToGrid w:val="0"/>
        <w:spacing w:line="300" w:lineRule="auto"/>
        <w:jc w:val="center"/>
        <w:rPr>
          <w:rFonts w:ascii="宋体"/>
          <w:snapToGrid w:val="0"/>
          <w:sz w:val="24"/>
          <w:szCs w:val="24"/>
        </w:rPr>
      </w:pPr>
      <w:r>
        <w:rPr>
          <w:rFonts w:hint="eastAsia" w:ascii="宋体" w:hAnsi="宋体"/>
          <w:snapToGrid w:val="0"/>
          <w:sz w:val="24"/>
          <w:szCs w:val="24"/>
        </w:rPr>
        <w:t>项目编号：</w:t>
      </w:r>
      <w:r>
        <w:rPr>
          <w:rFonts w:ascii="宋体" w:hAnsi="宋体"/>
          <w:snapToGrid w:val="0"/>
          <w:sz w:val="24"/>
          <w:szCs w:val="24"/>
        </w:rPr>
        <w:t>HGJC2019010</w:t>
      </w: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rPr>
          <w:rFonts w:ascii="黑体" w:hAnsi="黑体" w:eastAsia="黑体"/>
          <w:snapToGrid w:val="0"/>
          <w:szCs w:val="21"/>
          <w:u w:val="single"/>
        </w:rPr>
      </w:pPr>
    </w:p>
    <w:p>
      <w:pPr>
        <w:adjustRightInd w:val="0"/>
        <w:snapToGrid w:val="0"/>
        <w:spacing w:line="300" w:lineRule="auto"/>
        <w:rPr>
          <w:rFonts w:ascii="黑体" w:hAnsi="黑体" w:eastAsia="黑体"/>
          <w:snapToGrid w:val="0"/>
          <w:szCs w:val="21"/>
          <w:u w:val="single"/>
        </w:rPr>
      </w:pPr>
    </w:p>
    <w:p>
      <w:pPr>
        <w:ind w:right="2436" w:rightChars="1160"/>
        <w:jc w:val="center"/>
        <w:rPr>
          <w:rFonts w:ascii="黑体" w:hAnsi="黑体" w:eastAsia="黑体"/>
          <w:b/>
          <w:sz w:val="30"/>
          <w:szCs w:val="30"/>
        </w:rPr>
      </w:pPr>
      <w:r>
        <w:rPr>
          <w:rFonts w:ascii="黑体" w:hAnsi="黑体" w:eastAsia="黑体"/>
          <w:b/>
          <w:sz w:val="30"/>
          <w:szCs w:val="30"/>
        </w:rPr>
        <w:t xml:space="preserve">                </w:t>
      </w:r>
      <w:r>
        <w:rPr>
          <w:rFonts w:hint="eastAsia" w:ascii="黑体" w:hAnsi="黑体" w:eastAsia="黑体"/>
          <w:b/>
          <w:sz w:val="30"/>
          <w:szCs w:val="30"/>
        </w:rPr>
        <w:t>淮</w:t>
      </w:r>
      <w:r>
        <w:rPr>
          <w:rFonts w:ascii="黑体" w:hAnsi="黑体" w:eastAsia="黑体"/>
          <w:b/>
          <w:sz w:val="30"/>
          <w:szCs w:val="30"/>
        </w:rPr>
        <w:t xml:space="preserve">  </w:t>
      </w:r>
      <w:r>
        <w:rPr>
          <w:rFonts w:hint="eastAsia" w:ascii="黑体" w:hAnsi="黑体" w:eastAsia="黑体"/>
          <w:b/>
          <w:sz w:val="30"/>
          <w:szCs w:val="30"/>
        </w:rPr>
        <w:t>阴</w:t>
      </w:r>
      <w:r>
        <w:rPr>
          <w:rFonts w:ascii="黑体" w:hAnsi="黑体" w:eastAsia="黑体"/>
          <w:b/>
          <w:sz w:val="30"/>
          <w:szCs w:val="30"/>
        </w:rPr>
        <w:t xml:space="preserve">  </w:t>
      </w:r>
      <w:r>
        <w:rPr>
          <w:rFonts w:hint="eastAsia" w:ascii="黑体" w:hAnsi="黑体" w:eastAsia="黑体"/>
          <w:b/>
          <w:sz w:val="30"/>
          <w:szCs w:val="30"/>
        </w:rPr>
        <w:t>工</w:t>
      </w:r>
      <w:r>
        <w:rPr>
          <w:rFonts w:ascii="黑体" w:hAnsi="黑体" w:eastAsia="黑体"/>
          <w:b/>
          <w:sz w:val="30"/>
          <w:szCs w:val="30"/>
        </w:rPr>
        <w:t xml:space="preserve">  </w:t>
      </w:r>
      <w:r>
        <w:rPr>
          <w:rFonts w:hint="eastAsia" w:ascii="黑体" w:hAnsi="黑体" w:eastAsia="黑体"/>
          <w:b/>
          <w:sz w:val="30"/>
          <w:szCs w:val="30"/>
        </w:rPr>
        <w:t>学</w:t>
      </w:r>
      <w:r>
        <w:rPr>
          <w:rFonts w:ascii="黑体" w:hAnsi="黑体" w:eastAsia="黑体"/>
          <w:b/>
          <w:sz w:val="30"/>
          <w:szCs w:val="30"/>
        </w:rPr>
        <w:t xml:space="preserve">  </w:t>
      </w:r>
      <w:r>
        <w:rPr>
          <w:rFonts w:hint="eastAsia" w:ascii="黑体" w:hAnsi="黑体" w:eastAsia="黑体"/>
          <w:b/>
          <w:sz w:val="30"/>
          <w:szCs w:val="30"/>
        </w:rPr>
        <w:t>院</w:t>
      </w:r>
    </w:p>
    <w:p>
      <w:pPr>
        <w:ind w:right="2436" w:rightChars="1160"/>
        <w:jc w:val="center"/>
        <w:rPr>
          <w:rFonts w:ascii="黑体" w:hAnsi="黑体" w:eastAsia="黑体"/>
          <w:b/>
          <w:color w:val="000000"/>
          <w:sz w:val="30"/>
          <w:szCs w:val="30"/>
        </w:rPr>
      </w:pPr>
      <w:r>
        <w:rPr>
          <w:rFonts w:ascii="黑体" w:hAnsi="黑体" w:eastAsia="黑体"/>
          <w:b/>
          <w:sz w:val="30"/>
          <w:szCs w:val="30"/>
        </w:rPr>
        <w:t xml:space="preserve">                2019</w:t>
      </w:r>
      <w:r>
        <w:rPr>
          <w:rFonts w:hint="eastAsia" w:ascii="黑体" w:hAnsi="黑体" w:eastAsia="黑体"/>
          <w:b/>
          <w:sz w:val="30"/>
          <w:szCs w:val="30"/>
        </w:rPr>
        <w:t>年</w:t>
      </w:r>
      <w:r>
        <w:rPr>
          <w:rFonts w:ascii="黑体" w:hAnsi="黑体" w:eastAsia="黑体"/>
          <w:b/>
          <w:sz w:val="30"/>
          <w:szCs w:val="30"/>
        </w:rPr>
        <w:t xml:space="preserve"> 7</w:t>
      </w:r>
      <w:r>
        <w:rPr>
          <w:rFonts w:hint="eastAsia" w:ascii="黑体" w:hAnsi="黑体" w:eastAsia="黑体"/>
          <w:b/>
          <w:sz w:val="30"/>
          <w:szCs w:val="30"/>
        </w:rPr>
        <w:t>月</w:t>
      </w:r>
      <w:r>
        <w:rPr>
          <w:rFonts w:ascii="黑体" w:hAnsi="黑体" w:eastAsia="黑体"/>
          <w:b/>
          <w:color w:val="000000"/>
          <w:sz w:val="30"/>
          <w:szCs w:val="30"/>
        </w:rPr>
        <w:t>17</w:t>
      </w:r>
      <w:r>
        <w:rPr>
          <w:rFonts w:hint="eastAsia" w:ascii="黑体" w:hAnsi="黑体" w:eastAsia="黑体"/>
          <w:b/>
          <w:color w:val="000000"/>
          <w:sz w:val="30"/>
          <w:szCs w:val="30"/>
        </w:rPr>
        <w:t>日</w:t>
      </w:r>
    </w:p>
    <w:p>
      <w:pPr>
        <w:jc w:val="center"/>
        <w:rPr>
          <w:b/>
          <w:sz w:val="36"/>
          <w:szCs w:val="36"/>
        </w:rPr>
      </w:pPr>
    </w:p>
    <w:p>
      <w:pPr>
        <w:jc w:val="center"/>
        <w:rPr>
          <w:b/>
          <w:sz w:val="36"/>
          <w:szCs w:val="36"/>
        </w:rPr>
      </w:pPr>
    </w:p>
    <w:p>
      <w:pPr>
        <w:jc w:val="center"/>
        <w:rPr>
          <w:b/>
          <w:sz w:val="36"/>
          <w:szCs w:val="36"/>
        </w:rPr>
      </w:pPr>
      <w:r>
        <w:rPr>
          <w:rFonts w:hint="eastAsia"/>
          <w:b/>
          <w:sz w:val="36"/>
          <w:szCs w:val="36"/>
        </w:rPr>
        <w:t>目</w:t>
      </w:r>
      <w:r>
        <w:rPr>
          <w:b/>
          <w:sz w:val="36"/>
          <w:szCs w:val="36"/>
        </w:rPr>
        <w:t xml:space="preserve">  </w:t>
      </w:r>
      <w:r>
        <w:rPr>
          <w:rFonts w:hint="eastAsia"/>
          <w:b/>
          <w:sz w:val="36"/>
          <w:szCs w:val="36"/>
        </w:rPr>
        <w:t>录</w:t>
      </w:r>
    </w:p>
    <w:p>
      <w:pPr>
        <w:ind w:right="2436" w:rightChars="1160"/>
        <w:jc w:val="center"/>
        <w:rPr>
          <w:b/>
          <w:szCs w:val="21"/>
        </w:rPr>
      </w:pPr>
    </w:p>
    <w:p>
      <w:pPr>
        <w:ind w:right="2436" w:rightChars="1160"/>
        <w:jc w:val="center"/>
        <w:rPr>
          <w:b/>
          <w:szCs w:val="21"/>
        </w:rPr>
      </w:pPr>
    </w:p>
    <w:p>
      <w:pPr>
        <w:jc w:val="center"/>
        <w:rPr>
          <w:sz w:val="28"/>
        </w:rPr>
      </w:pPr>
    </w:p>
    <w:p>
      <w:pPr>
        <w:spacing w:line="680" w:lineRule="exact"/>
        <w:rPr>
          <w:sz w:val="28"/>
        </w:rPr>
      </w:pPr>
      <w:r>
        <w:rPr>
          <w:rFonts w:hint="eastAsia"/>
          <w:sz w:val="28"/>
        </w:rPr>
        <w:t>第一章</w:t>
      </w:r>
      <w:r>
        <w:rPr>
          <w:sz w:val="28"/>
        </w:rPr>
        <w:t xml:space="preserve">  </w:t>
      </w:r>
      <w:r>
        <w:rPr>
          <w:rFonts w:hint="eastAsia"/>
          <w:sz w:val="28"/>
        </w:rPr>
        <w:t>投标须知</w:t>
      </w:r>
      <w:r>
        <w:rPr>
          <w:sz w:val="28"/>
        </w:rPr>
        <w:t xml:space="preserve">  ……………………………………………… 3</w:t>
      </w:r>
    </w:p>
    <w:p>
      <w:pPr>
        <w:spacing w:line="680" w:lineRule="exact"/>
        <w:rPr>
          <w:sz w:val="28"/>
        </w:rPr>
      </w:pPr>
      <w:r>
        <w:rPr>
          <w:rFonts w:hint="eastAsia"/>
          <w:sz w:val="28"/>
        </w:rPr>
        <w:t>第二章</w:t>
      </w:r>
      <w:r>
        <w:rPr>
          <w:sz w:val="28"/>
        </w:rPr>
        <w:t xml:space="preserve">  </w:t>
      </w:r>
      <w:r>
        <w:rPr>
          <w:rFonts w:hint="eastAsia"/>
          <w:sz w:val="28"/>
        </w:rPr>
        <w:t>项目采购需求</w:t>
      </w:r>
      <w:r>
        <w:rPr>
          <w:sz w:val="28"/>
        </w:rPr>
        <w:t>……………………………………………15</w:t>
      </w:r>
    </w:p>
    <w:p>
      <w:pPr>
        <w:spacing w:line="680" w:lineRule="exact"/>
        <w:rPr>
          <w:sz w:val="28"/>
        </w:rPr>
      </w:pPr>
      <w:r>
        <w:rPr>
          <w:rFonts w:hint="eastAsia"/>
          <w:sz w:val="28"/>
        </w:rPr>
        <w:t>第三章</w:t>
      </w:r>
      <w:r>
        <w:rPr>
          <w:sz w:val="28"/>
        </w:rPr>
        <w:t xml:space="preserve">  </w:t>
      </w:r>
      <w:r>
        <w:rPr>
          <w:rFonts w:hint="eastAsia"/>
          <w:sz w:val="28"/>
        </w:rPr>
        <w:t>合同主要条款</w:t>
      </w:r>
      <w:r>
        <w:rPr>
          <w:sz w:val="28"/>
        </w:rPr>
        <w:t>……………………………………………22</w:t>
      </w:r>
    </w:p>
    <w:p>
      <w:pPr>
        <w:spacing w:line="680" w:lineRule="exact"/>
        <w:rPr>
          <w:sz w:val="28"/>
        </w:rPr>
      </w:pPr>
      <w:r>
        <w:rPr>
          <w:rFonts w:hint="eastAsia"/>
          <w:sz w:val="28"/>
        </w:rPr>
        <w:t>第四章</w:t>
      </w:r>
      <w:r>
        <w:rPr>
          <w:sz w:val="28"/>
        </w:rPr>
        <w:t xml:space="preserve">  </w:t>
      </w:r>
      <w:r>
        <w:rPr>
          <w:rFonts w:hint="eastAsia"/>
          <w:sz w:val="28"/>
        </w:rPr>
        <w:t>磋商响应文件样式</w:t>
      </w:r>
      <w:r>
        <w:rPr>
          <w:sz w:val="28"/>
        </w:rPr>
        <w:t>………………………………………24</w:t>
      </w:r>
    </w:p>
    <w:p>
      <w:pPr>
        <w:rPr>
          <w:sz w:val="28"/>
        </w:rPr>
      </w:pPr>
    </w:p>
    <w:p>
      <w:pPr>
        <w:spacing w:line="360" w:lineRule="auto"/>
        <w:ind w:firstLine="420" w:firstLineChars="200"/>
        <w:rPr>
          <w:bCs/>
          <w:szCs w:val="21"/>
        </w:rPr>
      </w:pPr>
    </w:p>
    <w:p>
      <w:pPr>
        <w:ind w:firstLine="420" w:firstLineChars="200"/>
        <w:rPr>
          <w:bCs/>
          <w:szCs w:val="21"/>
        </w:rPr>
      </w:pPr>
    </w:p>
    <w:p>
      <w:pPr>
        <w:widowControl/>
        <w:rPr>
          <w:bCs/>
          <w:szCs w:val="21"/>
        </w:rPr>
      </w:pPr>
      <w:r>
        <w:rPr>
          <w:bCs/>
          <w:szCs w:val="21"/>
        </w:rPr>
        <w:t xml:space="preserve">       </w:t>
      </w:r>
    </w:p>
    <w:p>
      <w:pPr>
        <w:tabs>
          <w:tab w:val="center" w:pos="4082"/>
        </w:tabs>
        <w:spacing w:line="480" w:lineRule="exact"/>
        <w:rPr>
          <w:b/>
          <w:szCs w:val="21"/>
        </w:rPr>
      </w:pPr>
    </w:p>
    <w:p>
      <w:pPr>
        <w:tabs>
          <w:tab w:val="center" w:pos="4082"/>
        </w:tabs>
        <w:spacing w:line="480" w:lineRule="exact"/>
        <w:jc w:val="center"/>
        <w:rPr>
          <w:szCs w:val="21"/>
        </w:rPr>
      </w:pPr>
    </w:p>
    <w:p/>
    <w:p/>
    <w:p/>
    <w:p/>
    <w:p/>
    <w:p/>
    <w:p/>
    <w:p/>
    <w:p/>
    <w:p/>
    <w:p/>
    <w:p/>
    <w:p/>
    <w:p/>
    <w:p/>
    <w:p/>
    <w:p/>
    <w:p/>
    <w:p/>
    <w:p/>
    <w:p>
      <w:pPr>
        <w:spacing w:line="360" w:lineRule="exact"/>
        <w:jc w:val="center"/>
        <w:rPr>
          <w:rFonts w:ascii="方正小标宋简体" w:eastAsia="方正小标宋简体"/>
          <w:sz w:val="36"/>
          <w:szCs w:val="36"/>
        </w:rPr>
      </w:pPr>
      <w:r>
        <w:rPr>
          <w:rFonts w:hint="eastAsia" w:ascii="方正小标宋简体" w:eastAsia="方正小标宋简体"/>
          <w:sz w:val="36"/>
          <w:szCs w:val="36"/>
        </w:rPr>
        <w:t>第一章</w:t>
      </w:r>
      <w:r>
        <w:rPr>
          <w:rFonts w:ascii="方正小标宋简体" w:eastAsia="方正小标宋简体"/>
          <w:sz w:val="36"/>
          <w:szCs w:val="36"/>
        </w:rPr>
        <w:t xml:space="preserve"> </w:t>
      </w:r>
      <w:r>
        <w:rPr>
          <w:rFonts w:hint="eastAsia" w:ascii="方正小标宋简体" w:eastAsia="方正小标宋简体"/>
          <w:sz w:val="36"/>
          <w:szCs w:val="36"/>
        </w:rPr>
        <w:t>磋商须知</w:t>
      </w:r>
    </w:p>
    <w:p>
      <w:pPr>
        <w:spacing w:line="360" w:lineRule="exact"/>
        <w:ind w:firstLine="480" w:firstLineChars="200"/>
        <w:rPr>
          <w:sz w:val="24"/>
          <w:szCs w:val="24"/>
        </w:rPr>
      </w:pPr>
    </w:p>
    <w:p>
      <w:pPr>
        <w:spacing w:line="440" w:lineRule="exact"/>
        <w:ind w:firstLine="480" w:firstLineChars="200"/>
        <w:rPr>
          <w:sz w:val="24"/>
          <w:szCs w:val="24"/>
        </w:rPr>
      </w:pPr>
      <w:r>
        <w:rPr>
          <w:rFonts w:hint="eastAsia"/>
          <w:sz w:val="24"/>
          <w:szCs w:val="24"/>
        </w:rPr>
        <w:t>一、磋商项目</w:t>
      </w:r>
    </w:p>
    <w:p>
      <w:pPr>
        <w:spacing w:line="440" w:lineRule="exact"/>
        <w:ind w:firstLine="480" w:firstLineChars="200"/>
        <w:rPr>
          <w:sz w:val="24"/>
          <w:szCs w:val="24"/>
        </w:rPr>
      </w:pPr>
      <w:r>
        <w:rPr>
          <w:rFonts w:hint="eastAsia"/>
          <w:sz w:val="24"/>
          <w:szCs w:val="24"/>
        </w:rPr>
        <w:t>项目名称：钢铁企业配电系统优化虚拟仿真实验教学项目</w:t>
      </w:r>
      <w:r>
        <w:rPr>
          <w:sz w:val="24"/>
          <w:szCs w:val="24"/>
        </w:rPr>
        <w:t>;</w:t>
      </w:r>
    </w:p>
    <w:p>
      <w:pPr>
        <w:spacing w:line="440" w:lineRule="exact"/>
        <w:ind w:firstLine="480" w:firstLineChars="200"/>
        <w:rPr>
          <w:sz w:val="24"/>
          <w:szCs w:val="24"/>
        </w:rPr>
      </w:pPr>
      <w:r>
        <w:rPr>
          <w:rFonts w:hint="eastAsia"/>
          <w:sz w:val="24"/>
          <w:szCs w:val="24"/>
        </w:rPr>
        <w:t>项目最高限价：</w:t>
      </w:r>
      <w:r>
        <w:rPr>
          <w:sz w:val="24"/>
          <w:szCs w:val="24"/>
        </w:rPr>
        <w:t xml:space="preserve">29 </w:t>
      </w:r>
      <w:r>
        <w:rPr>
          <w:rFonts w:hint="eastAsia"/>
          <w:sz w:val="24"/>
          <w:szCs w:val="24"/>
        </w:rPr>
        <w:t>万元；</w:t>
      </w:r>
    </w:p>
    <w:p>
      <w:pPr>
        <w:widowControl/>
        <w:spacing w:line="440" w:lineRule="exact"/>
        <w:ind w:firstLine="480" w:firstLineChars="200"/>
        <w:rPr>
          <w:sz w:val="24"/>
          <w:szCs w:val="24"/>
        </w:rPr>
      </w:pPr>
      <w:r>
        <w:rPr>
          <w:rFonts w:hint="eastAsia"/>
          <w:sz w:val="24"/>
          <w:szCs w:val="24"/>
        </w:rPr>
        <w:t>项目简要说明：</w:t>
      </w:r>
      <w:r>
        <w:rPr>
          <w:rFonts w:hint="eastAsia" w:ascii="宋体" w:hAnsi="宋体"/>
          <w:sz w:val="24"/>
          <w:szCs w:val="24"/>
        </w:rPr>
        <w:t>能观测电弧炉对配电网的谐波和无功污染，引入</w:t>
      </w:r>
      <w:r>
        <w:rPr>
          <w:rFonts w:ascii="宋体" w:hAnsi="宋体"/>
          <w:sz w:val="24"/>
          <w:szCs w:val="24"/>
        </w:rPr>
        <w:t>FC</w:t>
      </w:r>
      <w:r>
        <w:rPr>
          <w:rFonts w:hint="eastAsia" w:ascii="宋体" w:hAnsi="宋体"/>
          <w:sz w:val="24"/>
          <w:szCs w:val="24"/>
        </w:rPr>
        <w:t>结合</w:t>
      </w:r>
      <w:r>
        <w:rPr>
          <w:rFonts w:ascii="宋体" w:hAnsi="宋体"/>
          <w:sz w:val="24"/>
          <w:szCs w:val="24"/>
        </w:rPr>
        <w:t>TCR</w:t>
      </w:r>
      <w:r>
        <w:rPr>
          <w:rFonts w:hint="eastAsia" w:ascii="宋体" w:hAnsi="宋体"/>
          <w:sz w:val="24"/>
          <w:szCs w:val="24"/>
        </w:rPr>
        <w:t>补偿方式实现</w:t>
      </w:r>
      <w:r>
        <w:rPr>
          <w:rFonts w:ascii="宋体" w:hAnsi="宋体"/>
          <w:sz w:val="24"/>
          <w:szCs w:val="24"/>
        </w:rPr>
        <w:t>PCC</w:t>
      </w:r>
      <w:r>
        <w:rPr>
          <w:rFonts w:hint="eastAsia" w:ascii="宋体" w:hAnsi="宋体"/>
          <w:sz w:val="24"/>
          <w:szCs w:val="24"/>
        </w:rPr>
        <w:t>接入点功率因数的提升。</w:t>
      </w:r>
    </w:p>
    <w:p>
      <w:pPr>
        <w:widowControl/>
        <w:spacing w:line="440" w:lineRule="exact"/>
        <w:ind w:firstLine="480" w:firstLineChars="200"/>
        <w:rPr>
          <w:sz w:val="24"/>
          <w:szCs w:val="24"/>
        </w:rPr>
      </w:pPr>
      <w:r>
        <w:rPr>
          <w:rFonts w:hint="eastAsia"/>
          <w:sz w:val="24"/>
          <w:szCs w:val="24"/>
        </w:rPr>
        <w:t>具体要求见第二章。</w:t>
      </w:r>
    </w:p>
    <w:p>
      <w:pPr>
        <w:widowControl/>
        <w:spacing w:line="440" w:lineRule="exact"/>
        <w:ind w:firstLine="480" w:firstLineChars="200"/>
        <w:rPr>
          <w:sz w:val="24"/>
          <w:szCs w:val="24"/>
        </w:rPr>
      </w:pPr>
      <w:r>
        <w:rPr>
          <w:rFonts w:hint="eastAsia"/>
          <w:sz w:val="24"/>
          <w:szCs w:val="24"/>
        </w:rPr>
        <w:t>二、投标人的资格条件</w:t>
      </w:r>
    </w:p>
    <w:p>
      <w:pPr>
        <w:widowControl/>
        <w:spacing w:line="440" w:lineRule="exact"/>
        <w:ind w:firstLine="480" w:firstLineChars="200"/>
        <w:rPr>
          <w:sz w:val="24"/>
          <w:szCs w:val="24"/>
        </w:rPr>
      </w:pPr>
      <w:r>
        <w:rPr>
          <w:rFonts w:hint="eastAsia"/>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kern w:val="0"/>
          <w:sz w:val="24"/>
          <w:szCs w:val="24"/>
        </w:rPr>
      </w:pPr>
      <w:r>
        <w:rPr>
          <w:kern w:val="0"/>
          <w:sz w:val="24"/>
          <w:szCs w:val="24"/>
        </w:rPr>
        <w:t>1.</w:t>
      </w:r>
      <w:r>
        <w:rPr>
          <w:rFonts w:hint="eastAsia"/>
          <w:kern w:val="0"/>
          <w:sz w:val="24"/>
          <w:szCs w:val="24"/>
        </w:rPr>
        <w:t>经国家行政主管部门批准注册的企业法人；</w:t>
      </w:r>
    </w:p>
    <w:p>
      <w:pPr>
        <w:widowControl/>
        <w:spacing w:line="440" w:lineRule="exact"/>
        <w:ind w:firstLine="480" w:firstLineChars="200"/>
        <w:jc w:val="left"/>
        <w:rPr>
          <w:rFonts w:ascii="宋体" w:cs="宋体"/>
          <w:kern w:val="0"/>
          <w:sz w:val="24"/>
          <w:szCs w:val="24"/>
        </w:rPr>
      </w:pPr>
      <w:r>
        <w:rPr>
          <w:rFonts w:ascii="宋体" w:hAnsi="宋体" w:cs="宋体"/>
          <w:kern w:val="0"/>
          <w:sz w:val="24"/>
          <w:szCs w:val="24"/>
        </w:rPr>
        <w:t>2.</w:t>
      </w:r>
      <w:r>
        <w:rPr>
          <w:rFonts w:hint="eastAsia" w:ascii="宋体" w:hAnsi="宋体" w:cs="宋体"/>
          <w:kern w:val="0"/>
          <w:sz w:val="24"/>
          <w:szCs w:val="24"/>
        </w:rPr>
        <w:t>具有本次采购货物（服务）的相关经营范围；</w:t>
      </w:r>
    </w:p>
    <w:p>
      <w:pPr>
        <w:widowControl/>
        <w:spacing w:line="440" w:lineRule="exact"/>
        <w:ind w:firstLine="540" w:firstLineChars="200"/>
        <w:rPr>
          <w:spacing w:val="15"/>
          <w:kern w:val="0"/>
          <w:sz w:val="24"/>
          <w:szCs w:val="24"/>
        </w:rPr>
      </w:pPr>
      <w:r>
        <w:rPr>
          <w:spacing w:val="15"/>
          <w:kern w:val="0"/>
          <w:sz w:val="24"/>
          <w:szCs w:val="24"/>
        </w:rPr>
        <w:t>3.</w:t>
      </w:r>
      <w:r>
        <w:rPr>
          <w:rFonts w:hint="eastAsia"/>
          <w:spacing w:val="15"/>
          <w:kern w:val="0"/>
          <w:sz w:val="24"/>
          <w:szCs w:val="24"/>
        </w:rPr>
        <w:t>具有良好的经营行为和经营业绩，近三年在招投</w:t>
      </w:r>
      <w:bookmarkStart w:id="0" w:name="_GoBack"/>
      <w:bookmarkEnd w:id="0"/>
      <w:r>
        <w:rPr>
          <w:rFonts w:hint="eastAsia"/>
          <w:spacing w:val="15"/>
          <w:kern w:val="0"/>
          <w:sz w:val="24"/>
          <w:szCs w:val="24"/>
        </w:rPr>
        <w:t>标活动中无不良记录；</w:t>
      </w:r>
    </w:p>
    <w:p>
      <w:pPr>
        <w:widowControl/>
        <w:spacing w:line="440" w:lineRule="exact"/>
        <w:ind w:firstLine="540" w:firstLineChars="200"/>
        <w:rPr>
          <w:spacing w:val="15"/>
          <w:kern w:val="0"/>
          <w:sz w:val="24"/>
          <w:szCs w:val="24"/>
        </w:rPr>
      </w:pPr>
      <w:r>
        <w:rPr>
          <w:spacing w:val="15"/>
          <w:kern w:val="0"/>
          <w:sz w:val="24"/>
          <w:szCs w:val="24"/>
        </w:rPr>
        <w:t>4.</w:t>
      </w:r>
      <w:r>
        <w:rPr>
          <w:rFonts w:hint="eastAsia"/>
          <w:spacing w:val="15"/>
          <w:kern w:val="0"/>
          <w:sz w:val="24"/>
          <w:szCs w:val="24"/>
        </w:rPr>
        <w:t>具备履行合同所必需的设备和专业技术能力；</w:t>
      </w:r>
    </w:p>
    <w:p>
      <w:pPr>
        <w:widowControl/>
        <w:spacing w:line="440" w:lineRule="exact"/>
        <w:ind w:firstLine="540" w:firstLineChars="200"/>
        <w:rPr>
          <w:spacing w:val="15"/>
          <w:kern w:val="0"/>
          <w:sz w:val="24"/>
          <w:szCs w:val="24"/>
        </w:rPr>
      </w:pPr>
      <w:r>
        <w:rPr>
          <w:spacing w:val="15"/>
          <w:kern w:val="0"/>
          <w:sz w:val="24"/>
          <w:szCs w:val="24"/>
        </w:rPr>
        <w:t>5.</w:t>
      </w:r>
      <w:r>
        <w:rPr>
          <w:rFonts w:hint="eastAsia"/>
          <w:spacing w:val="15"/>
          <w:kern w:val="0"/>
          <w:sz w:val="24"/>
          <w:szCs w:val="24"/>
        </w:rPr>
        <w:t>本次招标不接受联合体供应商参加投标。</w:t>
      </w:r>
    </w:p>
    <w:p>
      <w:pPr>
        <w:widowControl/>
        <w:spacing w:line="440" w:lineRule="exact"/>
        <w:ind w:firstLine="540" w:firstLineChars="200"/>
        <w:rPr>
          <w:spacing w:val="15"/>
          <w:kern w:val="0"/>
          <w:sz w:val="24"/>
          <w:szCs w:val="24"/>
        </w:rPr>
      </w:pPr>
      <w:r>
        <w:rPr>
          <w:spacing w:val="15"/>
          <w:kern w:val="0"/>
          <w:sz w:val="24"/>
          <w:szCs w:val="24"/>
        </w:rPr>
        <w:t>6.</w:t>
      </w:r>
      <w:r>
        <w:rPr>
          <w:rFonts w:hint="eastAsia"/>
          <w:spacing w:val="15"/>
          <w:kern w:val="0"/>
          <w:sz w:val="24"/>
          <w:szCs w:val="24"/>
        </w:rPr>
        <w:t>拒绝下述条件的供应商参加本次采购活动</w:t>
      </w:r>
      <w:r>
        <w:rPr>
          <w:spacing w:val="15"/>
          <w:kern w:val="0"/>
          <w:sz w:val="24"/>
          <w:szCs w:val="24"/>
        </w:rPr>
        <w:t>:</w:t>
      </w:r>
    </w:p>
    <w:p>
      <w:pPr>
        <w:widowControl/>
        <w:spacing w:line="440" w:lineRule="exact"/>
        <w:ind w:firstLine="540" w:firstLineChars="200"/>
        <w:rPr>
          <w:spacing w:val="15"/>
          <w:kern w:val="0"/>
          <w:sz w:val="24"/>
          <w:szCs w:val="24"/>
        </w:rPr>
      </w:pPr>
      <w:r>
        <w:rPr>
          <w:spacing w:val="15"/>
          <w:kern w:val="0"/>
          <w:sz w:val="24"/>
          <w:szCs w:val="24"/>
        </w:rPr>
        <w:t>6.1</w:t>
      </w:r>
      <w:r>
        <w:rPr>
          <w:rFonts w:hint="eastAsia"/>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spacing w:val="15"/>
          <w:kern w:val="0"/>
          <w:sz w:val="24"/>
          <w:szCs w:val="24"/>
        </w:rPr>
      </w:pPr>
      <w:r>
        <w:rPr>
          <w:spacing w:val="15"/>
          <w:kern w:val="0"/>
          <w:sz w:val="24"/>
          <w:szCs w:val="24"/>
        </w:rPr>
        <w:t>6.2</w:t>
      </w:r>
      <w:r>
        <w:rPr>
          <w:rFonts w:hint="eastAsia"/>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spacing w:val="15"/>
          <w:kern w:val="0"/>
          <w:sz w:val="24"/>
          <w:szCs w:val="24"/>
        </w:rPr>
      </w:pPr>
      <w:r>
        <w:rPr>
          <w:spacing w:val="15"/>
          <w:kern w:val="0"/>
          <w:sz w:val="24"/>
          <w:szCs w:val="24"/>
        </w:rPr>
        <w:t>6.3</w:t>
      </w:r>
      <w:r>
        <w:rPr>
          <w:rFonts w:hint="eastAsia"/>
          <w:spacing w:val="15"/>
          <w:kern w:val="0"/>
          <w:sz w:val="24"/>
          <w:szCs w:val="24"/>
        </w:rPr>
        <w:t>近三年内（本项目招标截止期前）投标人被</w:t>
      </w:r>
      <w:r>
        <w:rPr>
          <w:spacing w:val="15"/>
          <w:kern w:val="0"/>
          <w:sz w:val="24"/>
          <w:szCs w:val="24"/>
        </w:rPr>
        <w:t>“</w:t>
      </w:r>
      <w:r>
        <w:rPr>
          <w:rFonts w:hint="eastAsia"/>
          <w:spacing w:val="15"/>
          <w:kern w:val="0"/>
          <w:sz w:val="24"/>
          <w:szCs w:val="24"/>
        </w:rPr>
        <w:t>信用中国</w:t>
      </w:r>
      <w:r>
        <w:rPr>
          <w:spacing w:val="15"/>
          <w:kern w:val="0"/>
          <w:sz w:val="24"/>
          <w:szCs w:val="24"/>
        </w:rPr>
        <w:t>”</w:t>
      </w:r>
      <w:r>
        <w:rPr>
          <w:rFonts w:hint="eastAsia"/>
          <w:spacing w:val="15"/>
          <w:kern w:val="0"/>
          <w:sz w:val="24"/>
          <w:szCs w:val="24"/>
        </w:rPr>
        <w:t>网站（</w:t>
      </w:r>
      <w:r>
        <w:fldChar w:fldCharType="begin"/>
      </w:r>
      <w:r>
        <w:instrText xml:space="preserve"> HYPERLINK "http://www.creditchina.gov.cn" </w:instrText>
      </w:r>
      <w:r>
        <w:fldChar w:fldCharType="separate"/>
      </w:r>
      <w:r>
        <w:rPr>
          <w:spacing w:val="15"/>
          <w:kern w:val="0"/>
          <w:sz w:val="24"/>
          <w:szCs w:val="24"/>
        </w:rPr>
        <w:t>www.creditchina.gov.cn</w:t>
      </w:r>
      <w:r>
        <w:rPr>
          <w:spacing w:val="15"/>
          <w:kern w:val="0"/>
          <w:sz w:val="24"/>
          <w:szCs w:val="24"/>
        </w:rPr>
        <w:fldChar w:fldCharType="end"/>
      </w:r>
      <w:r>
        <w:rPr>
          <w:rFonts w:hint="eastAsia"/>
          <w:spacing w:val="15"/>
          <w:kern w:val="0"/>
          <w:sz w:val="24"/>
          <w:szCs w:val="24"/>
        </w:rPr>
        <w:t>）列入失信被执行人和重大税收违法案件当事人名单的、被</w:t>
      </w:r>
      <w:r>
        <w:rPr>
          <w:spacing w:val="15"/>
          <w:kern w:val="0"/>
          <w:sz w:val="24"/>
          <w:szCs w:val="24"/>
        </w:rPr>
        <w:t>“</w:t>
      </w:r>
      <w:r>
        <w:rPr>
          <w:rFonts w:hint="eastAsia"/>
          <w:spacing w:val="15"/>
          <w:kern w:val="0"/>
          <w:sz w:val="24"/>
          <w:szCs w:val="24"/>
        </w:rPr>
        <w:t>中国政府采购网</w:t>
      </w:r>
      <w:r>
        <w:rPr>
          <w:spacing w:val="15"/>
          <w:kern w:val="0"/>
          <w:sz w:val="24"/>
          <w:szCs w:val="24"/>
        </w:rPr>
        <w:t>”</w:t>
      </w:r>
      <w:r>
        <w:rPr>
          <w:rFonts w:hint="eastAsia"/>
          <w:spacing w:val="15"/>
          <w:kern w:val="0"/>
          <w:sz w:val="24"/>
          <w:szCs w:val="24"/>
        </w:rPr>
        <w:t>网站（</w:t>
      </w:r>
      <w:r>
        <w:fldChar w:fldCharType="begin"/>
      </w:r>
      <w:r>
        <w:instrText xml:space="preserve"> HYPERLINK "http://www.ccgp.gov.cn" </w:instrText>
      </w:r>
      <w:r>
        <w:fldChar w:fldCharType="separate"/>
      </w:r>
      <w:r>
        <w:rPr>
          <w:spacing w:val="15"/>
          <w:kern w:val="0"/>
          <w:sz w:val="24"/>
          <w:szCs w:val="24"/>
        </w:rPr>
        <w:t>www.ccgp.gov.cn</w:t>
      </w:r>
      <w:r>
        <w:rPr>
          <w:spacing w:val="15"/>
          <w:kern w:val="0"/>
          <w:sz w:val="24"/>
          <w:szCs w:val="24"/>
        </w:rPr>
        <w:fldChar w:fldCharType="end"/>
      </w:r>
      <w:r>
        <w:rPr>
          <w:rFonts w:hint="eastAsia"/>
          <w:spacing w:val="15"/>
          <w:kern w:val="0"/>
          <w:sz w:val="24"/>
          <w:szCs w:val="24"/>
        </w:rPr>
        <w:t>）列入政府采购严重违法失信行为记录名单（处罚期限尚未届满的），不得参与本项目。</w:t>
      </w:r>
      <w:r>
        <w:rPr>
          <w:rFonts w:hint="eastAsia" w:ascii="宋体" w:hAnsi="宋体"/>
          <w:color w:val="000000"/>
          <w:sz w:val="24"/>
          <w:szCs w:val="24"/>
        </w:rPr>
        <w:t>提供网站截图。</w:t>
      </w:r>
    </w:p>
    <w:p>
      <w:pPr>
        <w:spacing w:line="440" w:lineRule="exact"/>
        <w:ind w:firstLine="540" w:firstLineChars="200"/>
        <w:rPr>
          <w:spacing w:val="4"/>
          <w:sz w:val="24"/>
          <w:szCs w:val="24"/>
        </w:rPr>
      </w:pPr>
      <w:r>
        <w:rPr>
          <w:rFonts w:hint="eastAsia"/>
          <w:spacing w:val="15"/>
          <w:kern w:val="0"/>
          <w:sz w:val="24"/>
          <w:szCs w:val="24"/>
        </w:rPr>
        <w:t>三、</w:t>
      </w:r>
      <w:r>
        <w:rPr>
          <w:rFonts w:hint="eastAsia"/>
          <w:spacing w:val="4"/>
          <w:sz w:val="24"/>
          <w:szCs w:val="24"/>
        </w:rPr>
        <w:t>投标人资格审查方式</w:t>
      </w:r>
    </w:p>
    <w:p>
      <w:pPr>
        <w:spacing w:line="440" w:lineRule="exact"/>
        <w:ind w:firstLine="488" w:firstLineChars="200"/>
        <w:rPr>
          <w:b/>
          <w:spacing w:val="2"/>
          <w:kern w:val="0"/>
          <w:sz w:val="24"/>
          <w:szCs w:val="24"/>
        </w:rPr>
      </w:pPr>
      <w:r>
        <w:rPr>
          <w:rFonts w:hint="eastAsia"/>
          <w:spacing w:val="2"/>
          <w:kern w:val="0"/>
          <w:sz w:val="24"/>
          <w:szCs w:val="24"/>
        </w:rPr>
        <w:t>资格后审，开标时进行投标资格审核。若中标后发现资格不符合要求，则取消中标资格，涉嫌提供虚假材料的将处以不退还磋商保证金等处罚。</w:t>
      </w:r>
    </w:p>
    <w:p>
      <w:pPr>
        <w:spacing w:line="440" w:lineRule="exact"/>
        <w:ind w:firstLine="480" w:firstLineChars="200"/>
        <w:rPr>
          <w:rFonts w:ascii="宋体" w:cs="仿宋"/>
          <w:sz w:val="24"/>
          <w:szCs w:val="24"/>
        </w:rPr>
      </w:pPr>
      <w:r>
        <w:rPr>
          <w:rFonts w:hint="eastAsia" w:ascii="宋体" w:hAnsi="宋体" w:cs="仿宋"/>
          <w:sz w:val="24"/>
          <w:szCs w:val="24"/>
        </w:rPr>
        <w:t>四、竞争性磋商文件</w:t>
      </w:r>
    </w:p>
    <w:p>
      <w:pPr>
        <w:spacing w:line="440" w:lineRule="exact"/>
        <w:ind w:firstLine="480" w:firstLineChars="200"/>
        <w:rPr>
          <w:rFonts w:ascii="宋体" w:cs="仿宋"/>
          <w:sz w:val="24"/>
          <w:szCs w:val="24"/>
        </w:rPr>
      </w:pPr>
      <w:r>
        <w:rPr>
          <w:rFonts w:ascii="宋体" w:hAnsi="宋体" w:cs="仿宋"/>
          <w:sz w:val="24"/>
          <w:szCs w:val="24"/>
        </w:rPr>
        <w:t>1.</w:t>
      </w:r>
      <w:r>
        <w:rPr>
          <w:rFonts w:hint="eastAsia" w:ascii="宋体" w:hAnsi="宋体" w:cs="仿宋"/>
          <w:sz w:val="24"/>
          <w:szCs w:val="24"/>
        </w:rPr>
        <w:t>竞争性磋商文件发布</w:t>
      </w:r>
    </w:p>
    <w:p>
      <w:pPr>
        <w:wordWrap w:val="0"/>
        <w:spacing w:line="440" w:lineRule="exact"/>
        <w:ind w:firstLine="480" w:firstLineChars="200"/>
        <w:jc w:val="left"/>
        <w:rPr>
          <w:rFonts w:ascii="宋体" w:cs="仿宋"/>
          <w:sz w:val="24"/>
          <w:szCs w:val="24"/>
        </w:rPr>
      </w:pPr>
      <w:r>
        <w:rPr>
          <w:rFonts w:hint="eastAsia" w:ascii="宋体" w:hAnsi="宋体" w:cs="仿宋"/>
          <w:sz w:val="24"/>
          <w:szCs w:val="24"/>
        </w:rPr>
        <w:t>竞争性磋商文件在淮阴工学院网站及其招投标办公室网站发布</w:t>
      </w:r>
      <w:r>
        <w:rPr>
          <w:rFonts w:hint="eastAsia" w:ascii="宋体" w:hAnsi="宋体" w:cs="仿宋"/>
          <w:szCs w:val="21"/>
        </w:rPr>
        <w:t>（</w:t>
      </w:r>
      <w:r>
        <w:rPr>
          <w:rFonts w:ascii="宋体" w:hAnsi="宋体" w:cs="仿宋"/>
          <w:szCs w:val="21"/>
        </w:rPr>
        <w:t>http://www.hyit.edu.cn/index/tzgg.htm/</w:t>
      </w:r>
      <w:r>
        <w:rPr>
          <w:rFonts w:hint="eastAsia" w:ascii="宋体" w:hAnsi="宋体" w:cs="仿宋"/>
          <w:szCs w:val="21"/>
        </w:rPr>
        <w:t>或</w:t>
      </w:r>
      <w:r>
        <w:rPr>
          <w:szCs w:val="21"/>
        </w:rPr>
        <w:t xml:space="preserve"> </w:t>
      </w:r>
      <w:r>
        <w:rPr>
          <w:rFonts w:ascii="宋体" w:hAnsi="宋体" w:cs="仿宋"/>
          <w:szCs w:val="21"/>
        </w:rPr>
        <w:t>http://zbb.hyit.edu.cn</w:t>
      </w:r>
      <w:r>
        <w:rPr>
          <w:rFonts w:hint="eastAsia" w:ascii="宋体" w:hAnsi="宋体" w:cs="仿宋"/>
          <w:szCs w:val="21"/>
        </w:rPr>
        <w:t>），</w:t>
      </w:r>
      <w:r>
        <w:rPr>
          <w:rFonts w:hint="eastAsia" w:ascii="宋体" w:hAnsi="宋体" w:cs="仿宋"/>
          <w:sz w:val="24"/>
          <w:szCs w:val="24"/>
        </w:rPr>
        <w:t>投标人无需提前现场报名，可直接在网站下载竞争性磋商文件电子文档。竞争性磋商文件资料费为</w:t>
      </w:r>
      <w:r>
        <w:rPr>
          <w:rFonts w:ascii="宋体" w:hAnsi="宋体" w:cs="仿宋"/>
          <w:color w:val="C00000"/>
          <w:sz w:val="24"/>
          <w:szCs w:val="24"/>
        </w:rPr>
        <w:t>200</w:t>
      </w:r>
      <w:r>
        <w:rPr>
          <w:rFonts w:hint="eastAsia" w:ascii="宋体" w:hAnsi="宋体" w:cs="仿宋"/>
          <w:sz w:val="24"/>
          <w:szCs w:val="24"/>
        </w:rPr>
        <w:t>元，投标人在投标前采用汇款方式（账号同磋商保证金账号）或到淮阴工学院财务处（暑假期间财务处每周一三五上午办理）刷卡方式交纳该费用（淮安市枚乘东路</w:t>
      </w:r>
      <w:r>
        <w:rPr>
          <w:rFonts w:ascii="宋体" w:hAnsi="宋体" w:cs="仿宋"/>
          <w:sz w:val="24"/>
          <w:szCs w:val="24"/>
        </w:rPr>
        <w:t>1</w:t>
      </w:r>
      <w:r>
        <w:rPr>
          <w:rFonts w:hint="eastAsia" w:ascii="宋体" w:hAnsi="宋体" w:cs="仿宋"/>
          <w:sz w:val="24"/>
          <w:szCs w:val="24"/>
        </w:rPr>
        <w:t>号，淮阴工学院翔宇楼</w:t>
      </w:r>
      <w:r>
        <w:rPr>
          <w:rFonts w:ascii="宋体" w:hAnsi="宋体" w:cs="仿宋"/>
          <w:sz w:val="24"/>
          <w:szCs w:val="24"/>
        </w:rPr>
        <w:t>103</w:t>
      </w:r>
      <w:r>
        <w:rPr>
          <w:rFonts w:hint="eastAsia" w:ascii="宋体" w:hAnsi="宋体" w:cs="仿宋"/>
          <w:sz w:val="24"/>
          <w:szCs w:val="24"/>
        </w:rPr>
        <w:t>室，联系电话：</w:t>
      </w:r>
      <w:r>
        <w:rPr>
          <w:rFonts w:ascii="宋体" w:hAnsi="宋体" w:cs="仿宋"/>
          <w:sz w:val="24"/>
          <w:szCs w:val="24"/>
        </w:rPr>
        <w:t>0517-83599189</w:t>
      </w:r>
      <w:r>
        <w:rPr>
          <w:rFonts w:hint="eastAsia" w:ascii="宋体" w:hAnsi="宋体" w:cs="仿宋"/>
          <w:sz w:val="24"/>
          <w:szCs w:val="24"/>
        </w:rPr>
        <w:t>），交后一律不退。</w:t>
      </w:r>
    </w:p>
    <w:p>
      <w:pPr>
        <w:spacing w:line="440" w:lineRule="exact"/>
        <w:ind w:firstLine="480" w:firstLineChars="200"/>
        <w:jc w:val="left"/>
        <w:rPr>
          <w:rFonts w:ascii="宋体" w:cs="仿宋"/>
          <w:sz w:val="24"/>
          <w:szCs w:val="24"/>
        </w:rPr>
      </w:pPr>
      <w:r>
        <w:rPr>
          <w:rFonts w:ascii="宋体" w:hAnsi="宋体" w:cs="仿宋"/>
          <w:sz w:val="24"/>
          <w:szCs w:val="24"/>
        </w:rPr>
        <w:t>2.</w:t>
      </w:r>
      <w:r>
        <w:rPr>
          <w:rFonts w:hint="eastAsia" w:ascii="宋体" w:hAnsi="宋体" w:cs="仿宋"/>
          <w:sz w:val="24"/>
          <w:szCs w:val="24"/>
        </w:rPr>
        <w:t>竞争性磋商文件澄清</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任何要求对竞争性磋商文件进行澄清的投标人，均应在投标截止时间五日前以书面形式通知采购人（在递送书面文件的同时请投标人将电子文档发送至采购人电子邮箱</w:t>
      </w:r>
      <w:r>
        <w:rPr>
          <w:rFonts w:ascii="宋体" w:hAnsi="宋体" w:cs="宋体"/>
          <w:kern w:val="0"/>
          <w:sz w:val="24"/>
          <w:szCs w:val="24"/>
        </w:rPr>
        <w:t>zbb@hyit.edu.cn</w:t>
      </w:r>
      <w:r>
        <w:rPr>
          <w:rFonts w:hint="eastAsia" w:ascii="宋体" w:hAnsi="宋体" w:cs="宋体"/>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竞争性磋商文件要求进行澄清的，采购人将不予受理）。</w:t>
      </w:r>
    </w:p>
    <w:p>
      <w:pPr>
        <w:widowControl/>
        <w:shd w:val="clear" w:color="auto" w:fill="FFFFFF"/>
        <w:spacing w:line="440" w:lineRule="exact"/>
        <w:ind w:firstLine="442"/>
        <w:jc w:val="left"/>
        <w:rPr>
          <w:rFonts w:ascii="宋体" w:cs="宋体"/>
          <w:kern w:val="0"/>
          <w:sz w:val="24"/>
          <w:szCs w:val="24"/>
        </w:rPr>
      </w:pPr>
      <w:r>
        <w:rPr>
          <w:rFonts w:ascii="宋体" w:hAnsi="宋体" w:cs="宋体"/>
          <w:kern w:val="0"/>
          <w:sz w:val="24"/>
          <w:szCs w:val="24"/>
        </w:rPr>
        <w:t>3.</w:t>
      </w:r>
      <w:r>
        <w:rPr>
          <w:rFonts w:hint="eastAsia" w:ascii="宋体" w:hAnsi="宋体" w:cs="宋体"/>
          <w:kern w:val="0"/>
          <w:sz w:val="24"/>
          <w:szCs w:val="24"/>
        </w:rPr>
        <w:t>竞争性磋商文件变更</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在截止时间前，采购人可主动或在解答投标人提出的澄清问题时对竞争性磋商文件用更正（变更、补充）公告的方式进行修正（在原招标公告发布网站发布），不单独进行通知。更正公告将作为竞争性磋商文件的组成部分，对所有参加本次投标的投标人都具有约束力。为使投标人有足够的时间按竞争性磋商文件的更正要求修正磋商响应文件，采购人有权按照相关法定的要求推迟投标截止时间和开标日期。</w:t>
      </w:r>
    </w:p>
    <w:p>
      <w:pPr>
        <w:widowControl/>
        <w:spacing w:line="440" w:lineRule="exact"/>
        <w:ind w:firstLine="540" w:firstLineChars="200"/>
        <w:rPr>
          <w:spacing w:val="15"/>
          <w:kern w:val="0"/>
          <w:sz w:val="24"/>
          <w:szCs w:val="24"/>
        </w:rPr>
      </w:pPr>
      <w:r>
        <w:rPr>
          <w:rFonts w:hint="eastAsia"/>
          <w:bCs/>
          <w:spacing w:val="15"/>
          <w:kern w:val="0"/>
          <w:sz w:val="24"/>
          <w:szCs w:val="24"/>
        </w:rPr>
        <w:t>五、磋商保证金</w:t>
      </w:r>
    </w:p>
    <w:p>
      <w:pPr>
        <w:spacing w:line="440" w:lineRule="exact"/>
        <w:ind w:firstLine="540" w:firstLineChars="200"/>
        <w:rPr>
          <w:rFonts w:ascii="宋体" w:cs="仿宋"/>
          <w:sz w:val="24"/>
          <w:szCs w:val="24"/>
        </w:rPr>
      </w:pPr>
      <w:r>
        <w:rPr>
          <w:rFonts w:hint="eastAsia"/>
          <w:spacing w:val="15"/>
          <w:kern w:val="0"/>
          <w:sz w:val="24"/>
          <w:szCs w:val="24"/>
        </w:rPr>
        <w:t>本项目磋商保证金金额</w:t>
      </w:r>
      <w:r>
        <w:rPr>
          <w:rFonts w:hint="eastAsia"/>
          <w:color w:val="000000"/>
          <w:spacing w:val="15"/>
          <w:kern w:val="0"/>
          <w:sz w:val="24"/>
          <w:szCs w:val="24"/>
        </w:rPr>
        <w:t>为</w:t>
      </w:r>
      <w:r>
        <w:rPr>
          <w:color w:val="000000"/>
          <w:spacing w:val="15"/>
          <w:kern w:val="0"/>
          <w:sz w:val="24"/>
          <w:szCs w:val="24"/>
        </w:rPr>
        <w:t>5000</w:t>
      </w:r>
      <w:r>
        <w:rPr>
          <w:rFonts w:hint="eastAsia"/>
          <w:color w:val="000000"/>
          <w:spacing w:val="15"/>
          <w:kern w:val="0"/>
          <w:sz w:val="24"/>
          <w:szCs w:val="24"/>
        </w:rPr>
        <w:t>元</w:t>
      </w:r>
      <w:r>
        <w:rPr>
          <w:rFonts w:hint="eastAsia"/>
          <w:spacing w:val="15"/>
          <w:kern w:val="0"/>
          <w:sz w:val="24"/>
          <w:szCs w:val="24"/>
        </w:rPr>
        <w:t>。投标人</w:t>
      </w:r>
      <w:r>
        <w:rPr>
          <w:rFonts w:hint="eastAsia" w:ascii="宋体" w:hAnsi="宋体" w:cs="仿宋"/>
          <w:sz w:val="24"/>
          <w:szCs w:val="24"/>
        </w:rPr>
        <w:t>采用网上银行支付等非现金形式在投标截止前将磋商保证金交纳至竞争性磋商文件中指定帐号（银行开户名：淮阴工学院；开户行：淮安市建行中北分理处；银行帐号：</w:t>
      </w:r>
      <w:r>
        <w:rPr>
          <w:rFonts w:ascii="宋体" w:hAnsi="宋体" w:cs="仿宋"/>
          <w:sz w:val="24"/>
          <w:szCs w:val="24"/>
        </w:rPr>
        <w:t>32001724236051451171</w:t>
      </w:r>
      <w:r>
        <w:rPr>
          <w:rFonts w:hint="eastAsia" w:ascii="宋体" w:hAnsi="宋体" w:cs="仿宋"/>
          <w:sz w:val="24"/>
          <w:szCs w:val="24"/>
        </w:rPr>
        <w:t>）。磋商保证金的交纳主体必须是投标人本身（从投标人的银行基本账户，个体工商户投标除外）。磋商保证金到账截止时间统一为磋商响应文件递交截止时间。因磋商保证金交纳及银行进帐期间需一定的时间，请各投标人提前做好交纳磋商保证金的工作，以确保保证金按期到达指定账户。否则出现磋商保证金无法按规定时间到账从而导致无效投标的，其后果自负。</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投标人在递交磋商响应文件前需到淮阴工学院财务处开据磋商保证金收据（暑假期间，财务处周一、三、五的上午可以办理）。因暑期放假，未中标人磋商保证金退款手续在</w:t>
      </w:r>
      <w:r>
        <w:rPr>
          <w:rFonts w:ascii="宋体" w:hAnsi="宋体" w:cs="仿宋"/>
          <w:sz w:val="24"/>
          <w:szCs w:val="24"/>
        </w:rPr>
        <w:t>2019</w:t>
      </w:r>
      <w:r>
        <w:rPr>
          <w:rFonts w:hint="eastAsia" w:ascii="宋体" w:hAnsi="宋体" w:cs="仿宋"/>
          <w:sz w:val="24"/>
          <w:szCs w:val="24"/>
        </w:rPr>
        <w:t>年</w:t>
      </w:r>
      <w:r>
        <w:rPr>
          <w:rFonts w:ascii="宋体" w:hAnsi="宋体" w:cs="仿宋"/>
          <w:sz w:val="24"/>
          <w:szCs w:val="24"/>
        </w:rPr>
        <w:t>9</w:t>
      </w:r>
      <w:r>
        <w:rPr>
          <w:rFonts w:hint="eastAsia" w:ascii="宋体" w:hAnsi="宋体" w:cs="仿宋"/>
          <w:sz w:val="24"/>
          <w:szCs w:val="24"/>
        </w:rPr>
        <w:t>月初办理。投标时需同时提交磋商响应文件和磋商保证金退款单（见附件）。</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发生下列任一情况的，磋商保证金将不予退还：</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1</w:t>
      </w:r>
      <w:r>
        <w:rPr>
          <w:rFonts w:hint="eastAsia" w:ascii="宋体" w:hAnsi="宋体" w:cs="仿宋"/>
          <w:sz w:val="24"/>
          <w:szCs w:val="24"/>
        </w:rPr>
        <w:t>）投标人在投标截止时间后至中标通知书发出之前撤回其投标；</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2</w:t>
      </w:r>
      <w:r>
        <w:rPr>
          <w:rFonts w:hint="eastAsia" w:ascii="宋体" w:hAnsi="宋体" w:cs="仿宋"/>
          <w:sz w:val="24"/>
          <w:szCs w:val="24"/>
        </w:rPr>
        <w:t>）投标人提供的有关资料、资格证明文件被确认是不真实的；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3</w:t>
      </w:r>
      <w:r>
        <w:rPr>
          <w:rFonts w:hint="eastAsia" w:ascii="宋体" w:hAnsi="宋体" w:cs="仿宋"/>
          <w:sz w:val="24"/>
          <w:szCs w:val="24"/>
        </w:rPr>
        <w:t>）投标人之间被证实有串通（统一哄抬价格）、欺诈行为；</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4</w:t>
      </w:r>
      <w:r>
        <w:rPr>
          <w:rFonts w:hint="eastAsia" w:ascii="宋体" w:hAnsi="宋体" w:cs="仿宋"/>
          <w:sz w:val="24"/>
          <w:szCs w:val="24"/>
        </w:rPr>
        <w:t>）投标人被证明有妨碍其他人公平竞争、损害招标采购单位或者其他投标人合法权益的；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5</w:t>
      </w:r>
      <w:r>
        <w:rPr>
          <w:rFonts w:hint="eastAsia" w:ascii="宋体" w:hAnsi="宋体" w:cs="仿宋"/>
          <w:sz w:val="24"/>
          <w:szCs w:val="24"/>
        </w:rPr>
        <w:t>）投标人代表被证明在评标期间与采购人、评委、招标办工作人员有私下接触的；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6</w:t>
      </w:r>
      <w:r>
        <w:rPr>
          <w:rFonts w:hint="eastAsia" w:ascii="宋体" w:hAnsi="宋体" w:cs="仿宋"/>
          <w:sz w:val="24"/>
          <w:szCs w:val="24"/>
        </w:rPr>
        <w:t>）中标人在规定期限内未签订合同的；</w:t>
      </w:r>
    </w:p>
    <w:p>
      <w:pPr>
        <w:spacing w:line="440" w:lineRule="exact"/>
        <w:ind w:firstLine="480" w:firstLineChars="200"/>
        <w:rPr>
          <w:rFonts w:ascii="宋体" w:cs="仿宋"/>
          <w:sz w:val="24"/>
          <w:szCs w:val="24"/>
        </w:rPr>
      </w:pPr>
      <w:r>
        <w:rPr>
          <w:rFonts w:hint="eastAsia" w:ascii="宋体" w:hAnsi="宋体" w:cs="仿宋"/>
          <w:sz w:val="24"/>
          <w:szCs w:val="24"/>
        </w:rPr>
        <w:t>（</w:t>
      </w:r>
      <w:r>
        <w:rPr>
          <w:rFonts w:ascii="宋体" w:hAnsi="宋体" w:cs="仿宋"/>
          <w:sz w:val="24"/>
          <w:szCs w:val="24"/>
        </w:rPr>
        <w:t>7</w:t>
      </w:r>
      <w:r>
        <w:rPr>
          <w:rFonts w:hint="eastAsia" w:ascii="宋体" w:hAnsi="宋体" w:cs="仿宋"/>
          <w:sz w:val="24"/>
          <w:szCs w:val="24"/>
        </w:rPr>
        <w:t>）中标人在规定期限内未按规定交纳履约保证金。</w:t>
      </w:r>
    </w:p>
    <w:p>
      <w:pPr>
        <w:spacing w:line="440" w:lineRule="exact"/>
        <w:ind w:firstLine="480" w:firstLineChars="200"/>
        <w:rPr>
          <w:sz w:val="24"/>
          <w:szCs w:val="24"/>
        </w:rPr>
      </w:pPr>
      <w:r>
        <w:rPr>
          <w:rFonts w:hint="eastAsia"/>
          <w:sz w:val="24"/>
          <w:szCs w:val="24"/>
        </w:rPr>
        <w:t>六、磋商响应文件组成</w:t>
      </w:r>
    </w:p>
    <w:p>
      <w:pPr>
        <w:spacing w:line="440" w:lineRule="exact"/>
        <w:ind w:firstLine="480" w:firstLineChars="200"/>
        <w:rPr>
          <w:sz w:val="24"/>
          <w:szCs w:val="24"/>
        </w:rPr>
      </w:pPr>
      <w:r>
        <w:rPr>
          <w:sz w:val="24"/>
          <w:szCs w:val="24"/>
        </w:rPr>
        <w:t>1.</w:t>
      </w:r>
      <w:r>
        <w:rPr>
          <w:rFonts w:hint="eastAsia"/>
          <w:sz w:val="24"/>
          <w:szCs w:val="24"/>
        </w:rPr>
        <w:t>投标函（格式见第四章）。</w:t>
      </w:r>
    </w:p>
    <w:p>
      <w:pPr>
        <w:spacing w:line="440" w:lineRule="exact"/>
        <w:ind w:firstLine="480" w:firstLineChars="200"/>
        <w:rPr>
          <w:sz w:val="24"/>
          <w:szCs w:val="24"/>
        </w:rPr>
      </w:pPr>
      <w:r>
        <w:rPr>
          <w:kern w:val="0"/>
          <w:sz w:val="24"/>
          <w:szCs w:val="24"/>
        </w:rPr>
        <w:t>2.</w:t>
      </w:r>
      <w:r>
        <w:rPr>
          <w:rFonts w:hint="eastAsia"/>
          <w:kern w:val="0"/>
          <w:sz w:val="24"/>
          <w:szCs w:val="24"/>
        </w:rPr>
        <w:t>投标报价表</w:t>
      </w:r>
      <w:r>
        <w:rPr>
          <w:rFonts w:hint="eastAsia"/>
          <w:sz w:val="24"/>
          <w:szCs w:val="24"/>
        </w:rPr>
        <w:t>（格式见第四章）</w:t>
      </w:r>
      <w:r>
        <w:rPr>
          <w:rFonts w:hint="eastAsia"/>
          <w:kern w:val="0"/>
          <w:sz w:val="24"/>
          <w:szCs w:val="24"/>
        </w:rPr>
        <w:t>：</w:t>
      </w:r>
      <w:r>
        <w:rPr>
          <w:rFonts w:hint="eastAsia"/>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kern w:val="0"/>
          <w:sz w:val="24"/>
          <w:szCs w:val="24"/>
        </w:rPr>
      </w:pPr>
      <w:r>
        <w:rPr>
          <w:kern w:val="0"/>
          <w:sz w:val="24"/>
          <w:szCs w:val="24"/>
        </w:rPr>
        <w:t>3.</w:t>
      </w:r>
      <w:r>
        <w:rPr>
          <w:rFonts w:hint="eastAsia"/>
          <w:kern w:val="0"/>
          <w:sz w:val="24"/>
          <w:szCs w:val="24"/>
        </w:rPr>
        <w:t>资质证明材料</w:t>
      </w:r>
    </w:p>
    <w:p>
      <w:pPr>
        <w:widowControl/>
        <w:shd w:val="clear" w:color="auto" w:fill="FFFFFF"/>
        <w:spacing w:line="440" w:lineRule="exact"/>
        <w:ind w:firstLine="440"/>
        <w:rPr>
          <w:kern w:val="0"/>
          <w:sz w:val="24"/>
          <w:szCs w:val="24"/>
        </w:rPr>
      </w:pPr>
      <w:r>
        <w:rPr>
          <w:kern w:val="0"/>
          <w:sz w:val="24"/>
          <w:szCs w:val="24"/>
        </w:rPr>
        <w:t>3.1</w:t>
      </w:r>
      <w:r>
        <w:rPr>
          <w:rFonts w:hint="eastAsia"/>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kern w:val="0"/>
          <w:sz w:val="24"/>
          <w:szCs w:val="24"/>
        </w:rPr>
      </w:pPr>
      <w:r>
        <w:rPr>
          <w:kern w:val="0"/>
          <w:sz w:val="24"/>
          <w:szCs w:val="24"/>
        </w:rPr>
        <w:t>3.2</w:t>
      </w:r>
      <w:r>
        <w:rPr>
          <w:rFonts w:hint="eastAsia"/>
          <w:kern w:val="0"/>
          <w:sz w:val="24"/>
          <w:szCs w:val="24"/>
        </w:rPr>
        <w:t>营业执照（复印件并加盖投标人公章）。</w:t>
      </w:r>
    </w:p>
    <w:p>
      <w:pPr>
        <w:widowControl/>
        <w:shd w:val="clear" w:color="auto" w:fill="FFFFFF"/>
        <w:spacing w:line="440" w:lineRule="exact"/>
        <w:ind w:firstLine="440"/>
        <w:rPr>
          <w:kern w:val="0"/>
          <w:sz w:val="24"/>
          <w:szCs w:val="24"/>
        </w:rPr>
      </w:pPr>
      <w:r>
        <w:rPr>
          <w:kern w:val="0"/>
          <w:sz w:val="24"/>
          <w:szCs w:val="24"/>
        </w:rPr>
        <w:t>3.3</w:t>
      </w:r>
      <w:r>
        <w:rPr>
          <w:rFonts w:hint="eastAsia"/>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kern w:val="0"/>
          <w:sz w:val="24"/>
          <w:szCs w:val="24"/>
        </w:rPr>
      </w:pPr>
      <w:r>
        <w:rPr>
          <w:kern w:val="0"/>
          <w:sz w:val="24"/>
          <w:szCs w:val="24"/>
        </w:rPr>
        <w:t>3.4</w:t>
      </w:r>
      <w:r>
        <w:rPr>
          <w:rFonts w:hint="eastAsia"/>
          <w:kern w:val="0"/>
          <w:sz w:val="24"/>
          <w:szCs w:val="24"/>
        </w:rPr>
        <w:t>提供“具备履行合同所必需的设备和专业技术能力”的承诺书（格式自定，加盖投标人公章）。</w:t>
      </w:r>
    </w:p>
    <w:p>
      <w:pPr>
        <w:widowControl/>
        <w:shd w:val="clear" w:color="auto" w:fill="FFFFFF"/>
        <w:spacing w:line="440" w:lineRule="exact"/>
        <w:ind w:firstLine="440"/>
        <w:rPr>
          <w:rFonts w:ascii="宋体" w:cs="宋体"/>
          <w:b/>
          <w:kern w:val="0"/>
          <w:sz w:val="24"/>
          <w:szCs w:val="24"/>
        </w:rPr>
      </w:pPr>
      <w:r>
        <w:rPr>
          <w:rFonts w:ascii="宋体" w:hAnsi="宋体"/>
          <w:sz w:val="24"/>
          <w:szCs w:val="24"/>
        </w:rPr>
        <w:t>3.5</w:t>
      </w:r>
      <w:r>
        <w:rPr>
          <w:rFonts w:hint="eastAsia" w:ascii="宋体" w:hAnsi="宋体"/>
          <w:sz w:val="24"/>
          <w:szCs w:val="24"/>
        </w:rPr>
        <w:t>近三年内（本项目招标截止期前）投标人被“信用中国”网站（</w:t>
      </w:r>
      <w:r>
        <w:rPr>
          <w:rFonts w:ascii="宋体" w:hAnsi="宋体"/>
          <w:sz w:val="24"/>
          <w:szCs w:val="24"/>
        </w:rPr>
        <w:t>www.creditchina.gov.cn</w:t>
      </w:r>
      <w:r>
        <w:rPr>
          <w:rFonts w:hint="eastAsia" w:ascii="宋体" w:hAnsi="宋体"/>
          <w:sz w:val="24"/>
          <w:szCs w:val="24"/>
        </w:rPr>
        <w:t>）列入失信被执行人和重大税收违法案件当事人名单的、被“中国政府采购网”网站（</w:t>
      </w:r>
      <w:r>
        <w:rPr>
          <w:rFonts w:ascii="宋体" w:hAnsi="宋体"/>
          <w:sz w:val="24"/>
          <w:szCs w:val="24"/>
        </w:rPr>
        <w:t>www.ccgp.gov.cn</w:t>
      </w:r>
      <w:r>
        <w:rPr>
          <w:rFonts w:hint="eastAsia" w:ascii="宋体" w:hAnsi="宋体"/>
          <w:sz w:val="24"/>
          <w:szCs w:val="24"/>
        </w:rPr>
        <w:t>）列入政府采购严重违法失信行为记录名单（处罚期限尚未届满的），不得参与本项目。提供网站截图。。</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kern w:val="0"/>
          <w:sz w:val="24"/>
          <w:szCs w:val="24"/>
        </w:rPr>
        <w:t>上述是对投标人资质审查时，投标人所必须要提供的资格证明文件，如投标人未能提供上述资格证明文件以及发现投标人的资质条件不符合竞争性磋商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kern w:val="0"/>
          <w:sz w:val="24"/>
          <w:szCs w:val="24"/>
        </w:rPr>
      </w:pPr>
      <w:r>
        <w:rPr>
          <w:kern w:val="0"/>
          <w:sz w:val="24"/>
          <w:szCs w:val="24"/>
        </w:rPr>
        <w:t>4.</w:t>
      </w:r>
      <w:r>
        <w:rPr>
          <w:rFonts w:hint="eastAsia"/>
          <w:kern w:val="0"/>
          <w:sz w:val="24"/>
          <w:szCs w:val="24"/>
        </w:rPr>
        <w:t>技术（服务、商务）要求响应偏离表（见第四章）</w:t>
      </w:r>
    </w:p>
    <w:p>
      <w:pPr>
        <w:spacing w:line="440" w:lineRule="exact"/>
        <w:ind w:firstLine="480" w:firstLineChars="200"/>
        <w:rPr>
          <w:kern w:val="0"/>
          <w:sz w:val="24"/>
          <w:szCs w:val="24"/>
        </w:rPr>
      </w:pPr>
      <w:r>
        <w:rPr>
          <w:rFonts w:hint="eastAsia"/>
          <w:kern w:val="0"/>
          <w:sz w:val="24"/>
          <w:szCs w:val="24"/>
        </w:rPr>
        <w:t>投标人应对竞争性磋商文件中的技术（服务、商务）要求逐项作出响应或偏离，否则该投标将被拒绝。</w:t>
      </w:r>
    </w:p>
    <w:p>
      <w:pPr>
        <w:spacing w:line="440" w:lineRule="exact"/>
        <w:ind w:firstLine="480" w:firstLineChars="200"/>
        <w:rPr>
          <w:kern w:val="0"/>
          <w:sz w:val="24"/>
          <w:szCs w:val="24"/>
        </w:rPr>
      </w:pPr>
      <w:r>
        <w:rPr>
          <w:kern w:val="0"/>
          <w:sz w:val="24"/>
          <w:szCs w:val="24"/>
        </w:rPr>
        <w:t>5.</w:t>
      </w:r>
      <w:r>
        <w:rPr>
          <w:rFonts w:hint="eastAsia"/>
          <w:kern w:val="0"/>
          <w:sz w:val="24"/>
          <w:szCs w:val="24"/>
        </w:rPr>
        <w:t>售后服务承诺</w:t>
      </w:r>
    </w:p>
    <w:p>
      <w:pPr>
        <w:spacing w:line="440" w:lineRule="exact"/>
        <w:ind w:firstLine="480" w:firstLineChars="200"/>
        <w:rPr>
          <w:rFonts w:ascii="宋体"/>
          <w:sz w:val="24"/>
          <w:szCs w:val="24"/>
        </w:rPr>
      </w:pPr>
      <w:r>
        <w:rPr>
          <w:rFonts w:hint="eastAsia" w:ascii="宋体" w:hAnsi="宋体"/>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竞争性磋商文件中服务要求的标准。</w:t>
      </w:r>
    </w:p>
    <w:p>
      <w:pPr>
        <w:widowControl/>
        <w:shd w:val="clear" w:color="auto" w:fill="FFFFFF"/>
        <w:spacing w:line="440" w:lineRule="exact"/>
        <w:ind w:firstLine="440"/>
        <w:rPr>
          <w:kern w:val="0"/>
          <w:sz w:val="24"/>
          <w:szCs w:val="24"/>
        </w:rPr>
      </w:pPr>
      <w:r>
        <w:rPr>
          <w:kern w:val="0"/>
          <w:sz w:val="24"/>
          <w:szCs w:val="24"/>
        </w:rPr>
        <w:t>6.</w:t>
      </w:r>
      <w:r>
        <w:rPr>
          <w:rFonts w:hint="eastAsia"/>
          <w:kern w:val="0"/>
          <w:sz w:val="24"/>
          <w:szCs w:val="24"/>
        </w:rPr>
        <w:t>所投设备（服务）的技术资料</w:t>
      </w:r>
    </w:p>
    <w:p>
      <w:pPr>
        <w:spacing w:line="440" w:lineRule="exact"/>
        <w:ind w:firstLine="480" w:firstLineChars="200"/>
        <w:rPr>
          <w:rFonts w:ascii="宋体"/>
          <w:sz w:val="24"/>
          <w:szCs w:val="24"/>
        </w:rPr>
      </w:pPr>
      <w:r>
        <w:rPr>
          <w:rFonts w:ascii="宋体" w:hAnsi="宋体"/>
          <w:sz w:val="24"/>
          <w:szCs w:val="24"/>
        </w:rPr>
        <w:t>6.1</w:t>
      </w:r>
      <w:r>
        <w:rPr>
          <w:rFonts w:hint="eastAsia" w:ascii="宋体" w:hAnsi="宋体"/>
          <w:sz w:val="24"/>
          <w:szCs w:val="24"/>
        </w:rPr>
        <w:t>卖方对买方操作、维护人员培训方案（包括培训人数、时间、地点、目的、内容、培训程度等）；</w:t>
      </w:r>
    </w:p>
    <w:p>
      <w:pPr>
        <w:spacing w:line="440" w:lineRule="exact"/>
        <w:ind w:firstLine="480" w:firstLineChars="200"/>
        <w:rPr>
          <w:rFonts w:ascii="宋体"/>
          <w:sz w:val="24"/>
          <w:szCs w:val="24"/>
        </w:rPr>
      </w:pPr>
      <w:r>
        <w:rPr>
          <w:rFonts w:ascii="宋体" w:hAnsi="宋体"/>
          <w:sz w:val="24"/>
          <w:szCs w:val="24"/>
        </w:rPr>
        <w:t>6.2</w:t>
      </w:r>
      <w:r>
        <w:rPr>
          <w:rFonts w:hint="eastAsia" w:ascii="宋体" w:hAnsi="宋体"/>
          <w:sz w:val="24"/>
          <w:szCs w:val="24"/>
        </w:rPr>
        <w:t>投标货物交货时可提供的技术资料清单；</w:t>
      </w:r>
    </w:p>
    <w:p>
      <w:pPr>
        <w:spacing w:line="440" w:lineRule="exact"/>
        <w:ind w:firstLine="480" w:firstLineChars="200"/>
        <w:rPr>
          <w:rFonts w:ascii="宋体"/>
          <w:sz w:val="24"/>
          <w:szCs w:val="24"/>
        </w:rPr>
      </w:pPr>
      <w:r>
        <w:rPr>
          <w:rFonts w:ascii="宋体" w:hAnsi="宋体"/>
          <w:sz w:val="24"/>
          <w:szCs w:val="24"/>
        </w:rPr>
        <w:t>6.3</w:t>
      </w:r>
      <w:r>
        <w:rPr>
          <w:rFonts w:hint="eastAsia" w:ascii="宋体" w:hAnsi="宋体"/>
          <w:sz w:val="24"/>
          <w:szCs w:val="24"/>
        </w:rPr>
        <w:t>卖方关于投标货物知识产权的承诺书；</w:t>
      </w:r>
    </w:p>
    <w:p>
      <w:pPr>
        <w:spacing w:line="440" w:lineRule="exact"/>
        <w:ind w:firstLine="480" w:firstLineChars="200"/>
        <w:rPr>
          <w:rFonts w:ascii="宋体"/>
          <w:sz w:val="24"/>
          <w:szCs w:val="24"/>
        </w:rPr>
      </w:pPr>
      <w:r>
        <w:rPr>
          <w:rFonts w:ascii="宋体" w:hAnsi="宋体"/>
          <w:sz w:val="24"/>
          <w:szCs w:val="24"/>
        </w:rPr>
        <w:t>6.4</w:t>
      </w:r>
      <w:r>
        <w:rPr>
          <w:rFonts w:hint="eastAsia" w:ascii="宋体" w:hAnsi="宋体"/>
          <w:sz w:val="24"/>
          <w:szCs w:val="24"/>
        </w:rPr>
        <w:t>需买方配合的工作和条件。</w:t>
      </w:r>
    </w:p>
    <w:p>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7.</w:t>
      </w:r>
      <w:r>
        <w:rPr>
          <w:rFonts w:ascii="宋体" w:hAnsi="宋体" w:cs="仿宋"/>
          <w:sz w:val="24"/>
          <w:szCs w:val="24"/>
        </w:rPr>
        <w:t xml:space="preserve"> </w:t>
      </w:r>
      <w:r>
        <w:rPr>
          <w:rFonts w:hint="eastAsia" w:ascii="宋体" w:hAnsi="宋体" w:cs="宋体"/>
          <w:kern w:val="0"/>
          <w:sz w:val="24"/>
          <w:szCs w:val="24"/>
        </w:rPr>
        <w:t>投标人</w:t>
      </w:r>
      <w:r>
        <w:rPr>
          <w:rFonts w:ascii="宋体" w:hAnsi="宋体" w:cs="宋体"/>
          <w:kern w:val="0"/>
          <w:sz w:val="24"/>
          <w:szCs w:val="24"/>
        </w:rPr>
        <w:t>2016</w:t>
      </w:r>
      <w:r>
        <w:rPr>
          <w:rFonts w:hint="eastAsia" w:ascii="宋体" w:hAnsi="宋体" w:cs="宋体"/>
          <w:kern w:val="0"/>
          <w:sz w:val="24"/>
          <w:szCs w:val="24"/>
        </w:rPr>
        <w:t>年</w:t>
      </w:r>
      <w:r>
        <w:rPr>
          <w:rFonts w:ascii="宋体" w:hAnsi="宋体" w:cs="宋体"/>
          <w:kern w:val="0"/>
          <w:sz w:val="24"/>
          <w:szCs w:val="24"/>
        </w:rPr>
        <w:t>1</w:t>
      </w:r>
      <w:r>
        <w:rPr>
          <w:rFonts w:hint="eastAsia" w:ascii="宋体" w:hAnsi="宋体" w:cs="宋体"/>
          <w:kern w:val="0"/>
          <w:sz w:val="24"/>
          <w:szCs w:val="24"/>
        </w:rPr>
        <w:t>月以来与本项目相关的服务业绩目录（见第四章）及证明材料（目录包含供货单位、供货时间、金额、主要设备、供货单位联系人姓名及联系电话等信息；提供与本项目直接相关的供货合同复印件）。</w:t>
      </w:r>
    </w:p>
    <w:p>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8.</w:t>
      </w:r>
      <w:r>
        <w:rPr>
          <w:rFonts w:hint="eastAsia" w:ascii="宋体" w:cs="宋体"/>
          <w:kern w:val="0"/>
          <w:sz w:val="24"/>
          <w:szCs w:val="24"/>
        </w:rPr>
        <w:t>评分标准中涉及的材料及</w:t>
      </w:r>
      <w:r>
        <w:rPr>
          <w:rFonts w:hint="eastAsia" w:ascii="宋体" w:hAnsi="宋体" w:cs="宋体"/>
          <w:kern w:val="0"/>
          <w:sz w:val="24"/>
          <w:szCs w:val="24"/>
        </w:rPr>
        <w:t>其他相关材料。</w:t>
      </w:r>
    </w:p>
    <w:p>
      <w:pPr>
        <w:widowControl/>
        <w:shd w:val="clear" w:color="auto" w:fill="FFFFFF"/>
        <w:spacing w:line="440" w:lineRule="exact"/>
        <w:ind w:firstLine="480" w:firstLineChars="200"/>
        <w:jc w:val="left"/>
        <w:rPr>
          <w:rFonts w:ascii="宋体" w:cs="宋体"/>
          <w:kern w:val="0"/>
          <w:sz w:val="24"/>
          <w:szCs w:val="24"/>
        </w:rPr>
      </w:pPr>
      <w:r>
        <w:rPr>
          <w:rFonts w:ascii="宋体" w:cs="宋体"/>
          <w:kern w:val="0"/>
          <w:sz w:val="24"/>
          <w:szCs w:val="24"/>
        </w:rPr>
        <w:t>9.</w:t>
      </w:r>
      <w:r>
        <w:rPr>
          <w:rFonts w:hint="eastAsia" w:ascii="宋体" w:cs="宋体"/>
          <w:kern w:val="0"/>
          <w:sz w:val="24"/>
          <w:szCs w:val="24"/>
        </w:rPr>
        <w:t>演示：演示</w:t>
      </w:r>
      <w:r>
        <w:rPr>
          <w:rFonts w:hint="eastAsia"/>
          <w:sz w:val="24"/>
          <w:szCs w:val="24"/>
        </w:rPr>
        <w:t>钢铁企业配电系统优化虚拟仿真的基本方案，初步模型的构建，以及相应开发的流程和时间节点</w:t>
      </w:r>
      <w:r>
        <w:rPr>
          <w:rFonts w:hint="eastAsia" w:ascii="宋体" w:cs="宋体"/>
          <w:kern w:val="0"/>
          <w:sz w:val="24"/>
          <w:szCs w:val="24"/>
        </w:rPr>
        <w:t>。</w:t>
      </w:r>
    </w:p>
    <w:p>
      <w:pPr>
        <w:spacing w:line="520" w:lineRule="exact"/>
        <w:ind w:firstLine="480" w:firstLineChars="200"/>
        <w:rPr>
          <w:rFonts w:ascii="宋体" w:cs="宋体"/>
          <w:kern w:val="0"/>
          <w:sz w:val="24"/>
        </w:rPr>
      </w:pPr>
      <w:r>
        <w:rPr>
          <w:sz w:val="24"/>
          <w:szCs w:val="24"/>
        </w:rPr>
        <w:t>1-8</w:t>
      </w:r>
      <w:r>
        <w:rPr>
          <w:rFonts w:hint="eastAsia"/>
          <w:sz w:val="24"/>
          <w:szCs w:val="24"/>
        </w:rPr>
        <w:t>项材料按顺序装订，上述有关原件带至开标现场备查。投标人须</w:t>
      </w:r>
      <w:r>
        <w:rPr>
          <w:rFonts w:hint="eastAsia" w:ascii="宋体" w:hAnsi="宋体" w:cs="宋体"/>
          <w:kern w:val="0"/>
          <w:sz w:val="24"/>
        </w:rPr>
        <w:t>编制一式五份磋商响应文件（包括一份正本和四份副本），每份磋商响应文件右上角必须清楚地标明“正本”或“副本”字样，一旦正本和副本不符，以正本为准。</w:t>
      </w:r>
      <w:r>
        <w:rPr>
          <w:rFonts w:hint="eastAsia" w:ascii="宋体" w:hAnsi="宋体"/>
          <w:sz w:val="24"/>
          <w:szCs w:val="24"/>
        </w:rPr>
        <w:t>磋商响应文件的正本应打印或用不褪色墨水书写；磋商响应文件的副本可打印或用不褪色墨水书写，也可采用正本的复印件。磋商响应文件提倡按照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幅面；磋商响应文件装订提倡采用胶装的形式。</w:t>
      </w:r>
      <w:r>
        <w:rPr>
          <w:rFonts w:hint="eastAsia" w:ascii="宋体" w:hAnsi="宋体"/>
          <w:sz w:val="24"/>
        </w:rPr>
        <w:t>磋商响应文件应编制目录，标注页码，应按要求加盖投标人公章；全套磋商响应文件应无修改和行间插字、字上贴字，如有修改，须在修改处加盖投标单位法定代表人或其委托代理人签名或印鉴；投标人必须使用本竞争性磋商文件第四章提供的磋商响应文件样式。磋商响应文件须</w:t>
      </w:r>
      <w:r>
        <w:rPr>
          <w:rFonts w:hint="eastAsia" w:ascii="宋体" w:hAnsi="宋体" w:cs="宋体"/>
          <w:kern w:val="0"/>
          <w:sz w:val="24"/>
        </w:rPr>
        <w:t>装在文件袋中并密封加盖单位公章（本竞争性磋商文件所表述的公章是指刻有投标人法定名称的印章，不包括合同、财务、税务、发票等形式的业务专用章），磋商响应文件封面和材料袋封面样式见第四章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color w:val="000000"/>
          <w:sz w:val="24"/>
        </w:rPr>
      </w:pPr>
      <w:r>
        <w:rPr>
          <w:rFonts w:hint="eastAsia" w:ascii="宋体" w:hAnsi="宋体"/>
          <w:sz w:val="24"/>
        </w:rPr>
        <w:t>投标人应承担其编制磋商响应文件、递交磋商响应文件等所涉及的一切费用，无论评标结果如何，采购人对上述费用均不负任何责任。</w:t>
      </w:r>
      <w:r>
        <w:rPr>
          <w:rFonts w:hint="eastAsia" w:ascii="宋体" w:hAnsi="宋体" w:cs="宋体"/>
          <w:kern w:val="0"/>
          <w:sz w:val="24"/>
        </w:rPr>
        <w:t>投标人自行保留磋商响应文件底稿，评标结束，采购人保留一正二副磋商响应文件，多余磋商响应文件由投标人在开标评标结束当天自行拿走，未</w:t>
      </w:r>
      <w:r>
        <w:rPr>
          <w:rFonts w:hint="eastAsia" w:ascii="宋体" w:hAnsi="宋体" w:cs="宋体"/>
          <w:color w:val="000000"/>
          <w:kern w:val="0"/>
          <w:sz w:val="24"/>
        </w:rPr>
        <w:t>拿走的磋商响应文件视同投标人同意采购人可以自行处置，而不需承担任何责任。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七、磋商响应文件递交时间、地点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磋商响应文件递交时间</w:t>
      </w:r>
    </w:p>
    <w:p>
      <w:pPr>
        <w:spacing w:line="520" w:lineRule="exact"/>
        <w:ind w:firstLine="540" w:firstLineChars="200"/>
        <w:rPr>
          <w:color w:val="000000"/>
          <w:spacing w:val="15"/>
          <w:kern w:val="0"/>
          <w:sz w:val="24"/>
          <w:szCs w:val="24"/>
        </w:rPr>
      </w:pP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7</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30</w:t>
      </w:r>
      <w:r>
        <w:rPr>
          <w:rFonts w:hint="eastAsia" w:ascii="宋体" w:hAnsi="宋体" w:cs="Arial"/>
          <w:color w:val="000000"/>
          <w:spacing w:val="15"/>
          <w:kern w:val="0"/>
          <w:sz w:val="24"/>
          <w:szCs w:val="24"/>
        </w:rPr>
        <w:t>日上午</w:t>
      </w:r>
      <w:r>
        <w:rPr>
          <w:rFonts w:ascii="宋体" w:hAnsi="宋体" w:cs="Arial"/>
          <w:color w:val="000000"/>
          <w:spacing w:val="15"/>
          <w:kern w:val="0"/>
          <w:sz w:val="24"/>
          <w:szCs w:val="24"/>
        </w:rPr>
        <w:t>9:30-10:3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采购人拒绝接收在规定的投标截止时间后递交的任何磋商响应文件。</w:t>
      </w:r>
    </w:p>
    <w:p>
      <w:pPr>
        <w:spacing w:line="520" w:lineRule="exact"/>
        <w:ind w:firstLine="480" w:firstLineChars="200"/>
        <w:rPr>
          <w:rFonts w:ascii="宋体"/>
          <w:color w:val="000000"/>
          <w:sz w:val="24"/>
          <w:szCs w:val="24"/>
        </w:rPr>
      </w:pPr>
      <w:r>
        <w:rPr>
          <w:rFonts w:ascii="宋体" w:hAnsi="宋体"/>
          <w:color w:val="000000"/>
          <w:sz w:val="24"/>
          <w:szCs w:val="24"/>
        </w:rPr>
        <w:t>2.</w:t>
      </w:r>
      <w:r>
        <w:rPr>
          <w:rFonts w:hint="eastAsia" w:ascii="宋体" w:hAnsi="宋体"/>
          <w:color w:val="000000"/>
          <w:sz w:val="24"/>
          <w:szCs w:val="24"/>
        </w:rPr>
        <w:t>磋商响应文件接收地点</w:t>
      </w:r>
    </w:p>
    <w:p>
      <w:pPr>
        <w:spacing w:line="520" w:lineRule="exact"/>
        <w:ind w:firstLine="480" w:firstLineChars="200"/>
        <w:rPr>
          <w:rFonts w:ascii="宋体"/>
          <w:color w:val="000000"/>
          <w:sz w:val="24"/>
          <w:szCs w:val="24"/>
        </w:rPr>
      </w:pPr>
      <w:r>
        <w:rPr>
          <w:rFonts w:hint="eastAsia" w:ascii="宋体" w:hAnsi="宋体"/>
          <w:color w:val="000000"/>
          <w:sz w:val="24"/>
          <w:szCs w:val="24"/>
        </w:rPr>
        <w:t>投标人凭我校</w:t>
      </w:r>
      <w:r>
        <w:fldChar w:fldCharType="begin"/>
      </w:r>
      <w:r>
        <w:instrText xml:space="preserve"> HYPERLINK "http://cw.hyit.edu.cn/" \t "_blank" </w:instrText>
      </w:r>
      <w:r>
        <w:fldChar w:fldCharType="separate"/>
      </w:r>
      <w:r>
        <w:rPr>
          <w:rFonts w:hint="eastAsia" w:ascii="宋体" w:hAnsi="宋体"/>
          <w:color w:val="000000"/>
          <w:sz w:val="24"/>
          <w:szCs w:val="24"/>
        </w:rPr>
        <w:t>财务处</w:t>
      </w:r>
      <w:r>
        <w:rPr>
          <w:rFonts w:hint="eastAsia" w:ascii="宋体" w:hAnsi="宋体"/>
          <w:color w:val="000000"/>
          <w:sz w:val="24"/>
          <w:szCs w:val="24"/>
        </w:rPr>
        <w:fldChar w:fldCharType="end"/>
      </w:r>
      <w:r>
        <w:rPr>
          <w:rFonts w:hint="eastAsia" w:ascii="宋体" w:hAnsi="宋体"/>
          <w:color w:val="000000"/>
          <w:sz w:val="24"/>
          <w:szCs w:val="24"/>
        </w:rPr>
        <w:t>开出的磋商保证金收据、竞争性磋商文件材料费收据直接送达到我校招标办（淮阴工学院枚乘路校区翔宇楼</w:t>
      </w:r>
      <w:r>
        <w:rPr>
          <w:rFonts w:ascii="宋体" w:hAnsi="宋体"/>
          <w:color w:val="000000"/>
          <w:sz w:val="24"/>
          <w:szCs w:val="24"/>
        </w:rPr>
        <w:t>203</w:t>
      </w:r>
      <w:r>
        <w:rPr>
          <w:rFonts w:hint="eastAsia" w:ascii="宋体" w:hAnsi="宋体"/>
          <w:color w:val="000000"/>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从提交磋商响应文件的截止之日起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投标有效期内投标人撤销磋商响应文件的，采购人不退还磋商保证金。磋商响应文件中承诺投标有效期少于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磋商保证金。同意延长的投标人既不能要求也不允许修改其磋商响应文件，但须相应延长磋商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磋商响应文件的修改和撤回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投标人在递交磋商响应文件后可以对其修改或撤回，但这种修改和撤回，必须在规定的投标截止时间前。投标人不得在投标截止时间起至投标有效期满前撤回磋商响应文件，否则磋商保证金将被没收。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八、磋商时间及地点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7</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30</w:t>
      </w:r>
      <w:r>
        <w:rPr>
          <w:rFonts w:hint="eastAsia" w:ascii="宋体" w:hAnsi="宋体" w:cs="Arial"/>
          <w:color w:val="000000"/>
          <w:spacing w:val="15"/>
          <w:kern w:val="0"/>
          <w:sz w:val="24"/>
          <w:szCs w:val="24"/>
        </w:rPr>
        <w:t>日下午</w:t>
      </w:r>
      <w:r>
        <w:rPr>
          <w:rFonts w:ascii="宋体" w:hAnsi="宋体" w:cs="Arial"/>
          <w:color w:val="000000"/>
          <w:spacing w:val="15"/>
          <w:kern w:val="0"/>
          <w:sz w:val="24"/>
          <w:szCs w:val="24"/>
        </w:rPr>
        <w:t>2:30</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、磋商办法</w:t>
      </w:r>
    </w:p>
    <w:p>
      <w:pPr>
        <w:widowControl/>
        <w:spacing w:line="440" w:lineRule="exact"/>
        <w:ind w:firstLine="480" w:firstLineChars="200"/>
        <w:rPr>
          <w:rFonts w:ascii="Arial" w:hAnsi="Arial" w:cs="Arial"/>
          <w:kern w:val="0"/>
          <w:sz w:val="24"/>
          <w:szCs w:val="24"/>
        </w:rPr>
      </w:pPr>
      <w:r>
        <w:rPr>
          <w:rFonts w:hint="eastAsia" w:ascii="Arial" w:hAnsi="Arial" w:cs="Arial"/>
          <w:color w:val="000000"/>
          <w:kern w:val="0"/>
          <w:sz w:val="24"/>
          <w:szCs w:val="24"/>
        </w:rPr>
        <w:t>本项目采用综合评分法。</w:t>
      </w:r>
      <w:r>
        <w:rPr>
          <w:rFonts w:hint="eastAsia"/>
          <w:sz w:val="24"/>
          <w:szCs w:val="24"/>
        </w:rPr>
        <w:t>磋商谈判小组</w:t>
      </w:r>
      <w:r>
        <w:rPr>
          <w:rFonts w:hint="eastAsia" w:ascii="Arial" w:hAnsi="Arial" w:cs="Arial"/>
          <w:color w:val="000000"/>
          <w:kern w:val="0"/>
          <w:sz w:val="24"/>
          <w:szCs w:val="24"/>
        </w:rPr>
        <w:t>（以下简称磋商小组）将本着公平、公正、公开原则，对通过资格审核的磋商响应文件进行</w:t>
      </w:r>
      <w:r>
        <w:rPr>
          <w:rFonts w:hint="eastAsia" w:ascii="Arial" w:hAnsi="Arial" w:cs="Arial"/>
          <w:kern w:val="0"/>
          <w:sz w:val="24"/>
          <w:szCs w:val="24"/>
        </w:rPr>
        <w:t>符合性审查，依据评分标准对于实质上响应竞争性磋商文件要求的磋商响应文件进行评价和比较。综合评分法，是指磋商响应文件满足竞争性磋商文件全部实质性要求</w:t>
      </w:r>
      <w:r>
        <w:rPr>
          <w:rFonts w:ascii="Arial" w:hAnsi="Arial" w:cs="Arial"/>
          <w:kern w:val="0"/>
          <w:sz w:val="24"/>
          <w:szCs w:val="24"/>
        </w:rPr>
        <w:t>,</w:t>
      </w:r>
      <w:r>
        <w:rPr>
          <w:rFonts w:hint="eastAsia" w:ascii="Arial" w:hAnsi="Arial" w:cs="Arial"/>
          <w:kern w:val="0"/>
          <w:sz w:val="24"/>
          <w:szCs w:val="24"/>
        </w:rPr>
        <w:t>且按照评审因素的量化指标评审得分最高的投标人为中标候选人的评标方法。磋商小组将依据评分标准（见下表）进行评标，本评分标准的总分为</w:t>
      </w:r>
      <w:r>
        <w:rPr>
          <w:rFonts w:ascii="Arial" w:hAnsi="Arial" w:cs="Arial"/>
          <w:kern w:val="0"/>
          <w:sz w:val="24"/>
          <w:szCs w:val="24"/>
        </w:rPr>
        <w:t>100</w:t>
      </w:r>
      <w:r>
        <w:rPr>
          <w:rFonts w:hint="eastAsia" w:ascii="Arial" w:hAnsi="Arial" w:cs="Arial"/>
          <w:kern w:val="0"/>
          <w:sz w:val="24"/>
          <w:szCs w:val="24"/>
        </w:rPr>
        <w:t>分。</w:t>
      </w:r>
      <w:r>
        <w:rPr>
          <w:rFonts w:hint="eastAsia"/>
          <w:sz w:val="24"/>
          <w:szCs w:val="24"/>
        </w:rPr>
        <w:t>磋商过程中安排二次报价等环节。</w:t>
      </w:r>
      <w:r>
        <w:rPr>
          <w:rFonts w:hint="eastAsia" w:ascii="Arial" w:hAnsi="Arial" w:cs="Arial"/>
          <w:kern w:val="0"/>
          <w:sz w:val="24"/>
          <w:szCs w:val="24"/>
        </w:rPr>
        <w:t>按评审后得分由高到低顺序排列。得分相同的，按投标报价由低到高顺序排列；得分且投标报价相同的并列，按技术指标</w:t>
      </w:r>
      <w:r>
        <w:rPr>
          <w:rFonts w:hint="eastAsia" w:ascii="Arial" w:hAnsi="Arial" w:cs="Arial"/>
          <w:color w:val="000000"/>
          <w:kern w:val="0"/>
          <w:sz w:val="24"/>
          <w:szCs w:val="24"/>
        </w:rPr>
        <w:t>得分高低</w:t>
      </w:r>
      <w:r>
        <w:rPr>
          <w:rFonts w:hint="eastAsia" w:ascii="Arial" w:hAnsi="Arial" w:cs="Arial"/>
          <w:kern w:val="0"/>
          <w:sz w:val="24"/>
          <w:szCs w:val="24"/>
        </w:rPr>
        <w:t>顺序排列。磋商响应文件满足竞争性磋商文件全部实质性要求，且按照评审因素的量化指标评审得分最高的投标人为排名第一的中标候选人。</w:t>
      </w:r>
    </w:p>
    <w:p>
      <w:pPr>
        <w:widowControl/>
        <w:spacing w:line="440" w:lineRule="exact"/>
        <w:ind w:firstLine="480" w:firstLineChars="200"/>
        <w:rPr>
          <w:rFonts w:ascii="Arial" w:hAnsi="Arial" w:cs="Arial"/>
          <w:kern w:val="0"/>
          <w:sz w:val="24"/>
          <w:szCs w:val="24"/>
        </w:rPr>
      </w:pPr>
      <w:r>
        <w:rPr>
          <w:rFonts w:hint="eastAsia" w:ascii="Arial" w:hAnsi="Arial" w:cs="Arial"/>
          <w:kern w:val="0"/>
          <w:sz w:val="24"/>
          <w:szCs w:val="24"/>
        </w:rPr>
        <w:t>若投标不足</w:t>
      </w:r>
      <w:r>
        <w:rPr>
          <w:rFonts w:ascii="Arial" w:hAnsi="Arial" w:cs="Arial"/>
          <w:kern w:val="0"/>
          <w:sz w:val="24"/>
          <w:szCs w:val="24"/>
        </w:rPr>
        <w:t>3</w:t>
      </w:r>
      <w:r>
        <w:rPr>
          <w:rFonts w:hint="eastAsia" w:ascii="Arial" w:hAnsi="Arial" w:cs="Arial"/>
          <w:kern w:val="0"/>
          <w:sz w:val="24"/>
          <w:szCs w:val="24"/>
        </w:rPr>
        <w:t>家或实质性响应不足</w:t>
      </w:r>
      <w:r>
        <w:rPr>
          <w:rFonts w:ascii="Arial" w:hAnsi="Arial" w:cs="Arial"/>
          <w:kern w:val="0"/>
          <w:sz w:val="24"/>
          <w:szCs w:val="24"/>
        </w:rPr>
        <w:t>3</w:t>
      </w:r>
      <w:r>
        <w:rPr>
          <w:rFonts w:hint="eastAsia" w:ascii="Arial" w:hAnsi="Arial" w:cs="Arial"/>
          <w:kern w:val="0"/>
          <w:sz w:val="24"/>
          <w:szCs w:val="24"/>
        </w:rPr>
        <w:t>家，采购人可以宣布项目流标或可采用其他方式确定供货商。</w:t>
      </w:r>
    </w:p>
    <w:p>
      <w:pPr>
        <w:tabs>
          <w:tab w:val="left" w:pos="2820"/>
        </w:tabs>
        <w:spacing w:line="440" w:lineRule="exact"/>
        <w:jc w:val="center"/>
        <w:rPr>
          <w:rFonts w:ascii="宋体"/>
          <w:sz w:val="24"/>
        </w:rPr>
      </w:pPr>
      <w:r>
        <w:rPr>
          <w:rFonts w:hint="eastAsia" w:ascii="宋体" w:hAnsi="宋体"/>
          <w:sz w:val="24"/>
        </w:rPr>
        <w:t>评分标准</w:t>
      </w:r>
    </w:p>
    <w:tbl>
      <w:tblPr>
        <w:tblStyle w:val="12"/>
        <w:tblW w:w="92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5"/>
        <w:gridCol w:w="850"/>
        <w:gridCol w:w="7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1285" w:type="dxa"/>
            <w:vAlign w:val="center"/>
          </w:tcPr>
          <w:p>
            <w:pPr>
              <w:snapToGrid w:val="0"/>
              <w:spacing w:line="360" w:lineRule="auto"/>
              <w:ind w:left="-105" w:leftChars="-50"/>
              <w:jc w:val="center"/>
              <w:rPr>
                <w:rFonts w:ascii="宋体" w:cs="宋体"/>
                <w:b/>
                <w:bCs/>
                <w:kern w:val="0"/>
              </w:rPr>
            </w:pPr>
            <w:r>
              <w:rPr>
                <w:rFonts w:hint="eastAsia" w:ascii="宋体" w:hAnsi="宋体" w:cs="宋体"/>
                <w:b/>
                <w:bCs/>
                <w:kern w:val="0"/>
              </w:rPr>
              <w:t>评分项目</w:t>
            </w:r>
          </w:p>
        </w:tc>
        <w:tc>
          <w:tcPr>
            <w:tcW w:w="850" w:type="dxa"/>
            <w:vAlign w:val="center"/>
          </w:tcPr>
          <w:p>
            <w:pPr>
              <w:snapToGrid w:val="0"/>
              <w:spacing w:line="360" w:lineRule="auto"/>
              <w:ind w:left="-9" w:leftChars="-33" w:hanging="60" w:hangingChars="29"/>
              <w:jc w:val="center"/>
              <w:rPr>
                <w:rFonts w:ascii="宋体" w:cs="宋体"/>
                <w:kern w:val="0"/>
              </w:rPr>
            </w:pPr>
            <w:r>
              <w:rPr>
                <w:rFonts w:hint="eastAsia" w:ascii="宋体" w:hAnsi="宋体" w:cs="宋体"/>
                <w:kern w:val="0"/>
              </w:rPr>
              <w:t>满分值</w:t>
            </w:r>
          </w:p>
        </w:tc>
        <w:tc>
          <w:tcPr>
            <w:tcW w:w="7123" w:type="dxa"/>
            <w:vAlign w:val="center"/>
          </w:tcPr>
          <w:p>
            <w:pPr>
              <w:snapToGrid w:val="0"/>
              <w:spacing w:line="360" w:lineRule="auto"/>
              <w:jc w:val="center"/>
              <w:rPr>
                <w:rFonts w:ascii="宋体" w:cs="宋体"/>
                <w:kern w:val="0"/>
              </w:rPr>
            </w:pPr>
            <w:r>
              <w:rPr>
                <w:rFonts w:hint="eastAsia" w:ascii="宋体" w:hAnsi="宋体" w:cs="宋体"/>
                <w:kern w:val="0"/>
              </w:rPr>
              <w:t>评分要素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jc w:val="center"/>
        </w:trPr>
        <w:tc>
          <w:tcPr>
            <w:tcW w:w="1285" w:type="dxa"/>
            <w:vAlign w:val="center"/>
          </w:tcPr>
          <w:p>
            <w:pPr>
              <w:snapToGrid w:val="0"/>
              <w:spacing w:line="360" w:lineRule="auto"/>
              <w:jc w:val="center"/>
              <w:rPr>
                <w:rFonts w:ascii="宋体"/>
                <w:b/>
                <w:bCs/>
              </w:rPr>
            </w:pPr>
            <w:r>
              <w:rPr>
                <w:rFonts w:hint="eastAsia" w:ascii="宋体" w:hAnsi="宋体"/>
                <w:b/>
                <w:bCs/>
              </w:rPr>
              <w:t>价格</w:t>
            </w:r>
          </w:p>
        </w:tc>
        <w:tc>
          <w:tcPr>
            <w:tcW w:w="850" w:type="dxa"/>
            <w:vAlign w:val="center"/>
          </w:tcPr>
          <w:p>
            <w:pPr>
              <w:snapToGrid w:val="0"/>
              <w:spacing w:line="360" w:lineRule="auto"/>
              <w:jc w:val="center"/>
              <w:rPr>
                <w:rFonts w:ascii="宋体"/>
              </w:rPr>
            </w:pPr>
            <w:r>
              <w:rPr>
                <w:rFonts w:ascii="宋体" w:hAnsi="宋体"/>
              </w:rPr>
              <w:t>40</w:t>
            </w:r>
          </w:p>
        </w:tc>
        <w:tc>
          <w:tcPr>
            <w:tcW w:w="7123" w:type="dxa"/>
          </w:tcPr>
          <w:p>
            <w:pPr>
              <w:rPr>
                <w:rFonts w:ascii="宋体" w:cs="宋体"/>
                <w:kern w:val="0"/>
              </w:rPr>
            </w:pPr>
            <w:r>
              <w:rPr>
                <w:rFonts w:hint="eastAsia" w:ascii="宋体" w:hAnsi="宋体" w:cs="宋体"/>
                <w:kern w:val="0"/>
              </w:rPr>
              <w:t>以满足招标要求且投标报价最低的有效报价为评标基准价，投标报价等于基准价得</w:t>
            </w:r>
            <w:r>
              <w:rPr>
                <w:rFonts w:ascii="宋体" w:hAnsi="宋体" w:cs="宋体"/>
                <w:kern w:val="0"/>
              </w:rPr>
              <w:t>4</w:t>
            </w:r>
            <w:r>
              <w:rPr>
                <w:rFonts w:ascii="宋体" w:cs="宋体"/>
                <w:kern w:val="0"/>
              </w:rPr>
              <w:t>0</w:t>
            </w:r>
            <w:r>
              <w:rPr>
                <w:rFonts w:hint="eastAsia" w:ascii="宋体" w:hAnsi="宋体" w:cs="宋体"/>
                <w:kern w:val="0"/>
              </w:rPr>
              <w:t>分，投标价格高于基准价的按下列公式计算：</w:t>
            </w:r>
          </w:p>
          <w:p>
            <w:pPr>
              <w:numPr>
                <w:ilvl w:val="0"/>
                <w:numId w:val="1"/>
              </w:numPr>
              <w:snapToGrid w:val="0"/>
              <w:spacing w:line="360" w:lineRule="auto"/>
              <w:ind w:left="0"/>
              <w:rPr>
                <w:rFonts w:ascii="宋体"/>
              </w:rPr>
            </w:pPr>
            <w:r>
              <w:rPr>
                <w:rFonts w:hint="eastAsia" w:ascii="宋体" w:hAnsi="宋体" w:cs="宋体"/>
                <w:kern w:val="0"/>
              </w:rPr>
              <w:t>投标报价得分</w:t>
            </w:r>
            <w:r>
              <w:rPr>
                <w:rFonts w:ascii="宋体" w:hAnsi="宋体" w:cs="宋体"/>
                <w:kern w:val="0"/>
              </w:rPr>
              <w:t>=</w:t>
            </w:r>
            <w:r>
              <w:rPr>
                <w:rFonts w:hint="eastAsia" w:ascii="宋体" w:hAnsi="宋体" w:cs="宋体"/>
                <w:kern w:val="0"/>
              </w:rPr>
              <w:t>（评标基准价</w:t>
            </w:r>
            <w:r>
              <w:rPr>
                <w:rFonts w:ascii="宋体" w:hAnsi="宋体" w:cs="宋体"/>
                <w:kern w:val="0"/>
              </w:rPr>
              <w:t>/</w:t>
            </w:r>
            <w:r>
              <w:rPr>
                <w:rFonts w:hint="eastAsia" w:ascii="宋体" w:hAnsi="宋体" w:cs="宋体"/>
                <w:kern w:val="0"/>
              </w:rPr>
              <w:t>投标报价）</w:t>
            </w:r>
            <w:r>
              <w:rPr>
                <w:rFonts w:ascii="宋体" w:hAnsi="宋体" w:cs="宋体"/>
                <w:kern w:val="0"/>
              </w:rPr>
              <w:t>*4</w:t>
            </w:r>
            <w:r>
              <w:rPr>
                <w:rFonts w:ascii="宋体" w:cs="宋体"/>
                <w:kern w:val="0"/>
              </w:rPr>
              <w:t>0</w:t>
            </w:r>
          </w:p>
          <w:p>
            <w:pPr>
              <w:numPr>
                <w:ilvl w:val="0"/>
                <w:numId w:val="1"/>
              </w:numPr>
              <w:snapToGrid w:val="0"/>
              <w:spacing w:line="360" w:lineRule="auto"/>
              <w:ind w:left="0"/>
              <w:rPr>
                <w:rFonts w:ascii="宋体"/>
              </w:rPr>
            </w:pPr>
            <w:r>
              <w:rPr>
                <w:rFonts w:hint="eastAsia"/>
              </w:rPr>
              <w:t>投标报价为二次报价的数额。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atLeast"/>
          <w:jc w:val="center"/>
        </w:trPr>
        <w:tc>
          <w:tcPr>
            <w:tcW w:w="1285" w:type="dxa"/>
            <w:vAlign w:val="center"/>
          </w:tcPr>
          <w:p>
            <w:pPr>
              <w:snapToGrid w:val="0"/>
              <w:spacing w:line="360" w:lineRule="auto"/>
              <w:jc w:val="center"/>
              <w:rPr>
                <w:rFonts w:ascii="宋体"/>
                <w:b/>
                <w:bCs/>
              </w:rPr>
            </w:pPr>
            <w:r>
              <w:rPr>
                <w:rFonts w:hint="eastAsia" w:ascii="宋体" w:hAnsi="宋体"/>
                <w:b/>
                <w:bCs/>
              </w:rPr>
              <w:t>技术部分</w:t>
            </w:r>
          </w:p>
        </w:tc>
        <w:tc>
          <w:tcPr>
            <w:tcW w:w="850" w:type="dxa"/>
            <w:vAlign w:val="center"/>
          </w:tcPr>
          <w:p>
            <w:pPr>
              <w:snapToGrid w:val="0"/>
              <w:spacing w:line="360" w:lineRule="auto"/>
              <w:jc w:val="center"/>
              <w:rPr>
                <w:rFonts w:ascii="宋体"/>
              </w:rPr>
            </w:pPr>
            <w:r>
              <w:rPr>
                <w:rFonts w:ascii="宋体" w:hAnsi="宋体"/>
              </w:rPr>
              <w:t>30</w:t>
            </w:r>
          </w:p>
        </w:tc>
        <w:tc>
          <w:tcPr>
            <w:tcW w:w="7123" w:type="dxa"/>
          </w:tcPr>
          <w:p>
            <w:pPr>
              <w:widowControl/>
              <w:spacing w:line="360" w:lineRule="auto"/>
              <w:jc w:val="left"/>
              <w:rPr>
                <w:rFonts w:ascii="宋体" w:cs="宋体"/>
                <w:kern w:val="0"/>
              </w:rPr>
            </w:pPr>
            <w:r>
              <w:rPr>
                <w:rFonts w:hint="eastAsia" w:ascii="宋体" w:cs="宋体"/>
                <w:kern w:val="0"/>
              </w:rPr>
              <w:t>投标产品的所有技术参数全部满足招标要求，得</w:t>
            </w:r>
            <w:r>
              <w:rPr>
                <w:rFonts w:ascii="宋体" w:cs="宋体"/>
                <w:kern w:val="0"/>
              </w:rPr>
              <w:t>25</w:t>
            </w:r>
            <w:r>
              <w:rPr>
                <w:rFonts w:hint="eastAsia" w:ascii="宋体" w:cs="宋体"/>
                <w:kern w:val="0"/>
              </w:rPr>
              <w:t>分。</w:t>
            </w:r>
          </w:p>
          <w:p>
            <w:pPr>
              <w:widowControl/>
              <w:spacing w:line="360" w:lineRule="auto"/>
              <w:jc w:val="left"/>
              <w:rPr>
                <w:rFonts w:ascii="宋体" w:cs="宋体"/>
                <w:kern w:val="0"/>
              </w:rPr>
            </w:pPr>
            <w:r>
              <w:rPr>
                <w:rFonts w:hint="eastAsia" w:ascii="宋体" w:cs="宋体"/>
                <w:kern w:val="0"/>
              </w:rPr>
              <w:t>标注★号为核心指标，这些指标不允许负偏离，否则为无效投标。</w:t>
            </w:r>
          </w:p>
          <w:p>
            <w:pPr>
              <w:widowControl/>
              <w:spacing w:line="360" w:lineRule="auto"/>
              <w:jc w:val="left"/>
              <w:rPr>
                <w:rFonts w:ascii="宋体" w:cs="宋体"/>
                <w:kern w:val="0"/>
              </w:rPr>
            </w:pPr>
            <w:r>
              <w:rPr>
                <w:rFonts w:hint="eastAsia" w:ascii="宋体" w:cs="宋体"/>
                <w:kern w:val="0"/>
              </w:rPr>
              <w:t>以</w:t>
            </w:r>
            <w:r>
              <w:rPr>
                <w:rFonts w:ascii="宋体" w:cs="宋体"/>
                <w:kern w:val="0"/>
              </w:rPr>
              <w:t>25</w:t>
            </w:r>
            <w:r>
              <w:rPr>
                <w:rFonts w:hint="eastAsia" w:ascii="宋体" w:cs="宋体"/>
                <w:kern w:val="0"/>
              </w:rPr>
              <w:t>为基数，加“★”技术指标为正偏离的，有一项加</w:t>
            </w:r>
            <w:r>
              <w:rPr>
                <w:rFonts w:ascii="宋体" w:cs="宋体"/>
                <w:kern w:val="0"/>
              </w:rPr>
              <w:t>1</w:t>
            </w:r>
            <w:r>
              <w:rPr>
                <w:rFonts w:hint="eastAsia" w:ascii="宋体" w:cs="宋体"/>
                <w:kern w:val="0"/>
              </w:rPr>
              <w:t>分，最高不超过</w:t>
            </w:r>
            <w:r>
              <w:rPr>
                <w:rFonts w:ascii="宋体" w:cs="宋体"/>
                <w:kern w:val="0"/>
              </w:rPr>
              <w:t>5</w:t>
            </w:r>
            <w:r>
              <w:rPr>
                <w:rFonts w:hint="eastAsia" w:ascii="宋体" w:cs="宋体"/>
                <w:kern w:val="0"/>
              </w:rPr>
              <w:t>分（须提供证明材料，并经</w:t>
            </w:r>
            <w:r>
              <w:rPr>
                <w:rFonts w:ascii="宋体" w:cs="宋体"/>
                <w:kern w:val="0"/>
              </w:rPr>
              <w:t>2/3</w:t>
            </w:r>
            <w:r>
              <w:rPr>
                <w:rFonts w:hint="eastAsia" w:ascii="宋体" w:cs="宋体"/>
                <w:kern w:val="0"/>
              </w:rPr>
              <w:t>以上评委认可）。未标注“★”部分的技术要求为负偏离的，每一项扣</w:t>
            </w:r>
            <w:r>
              <w:rPr>
                <w:rFonts w:ascii="宋体" w:cs="宋体"/>
                <w:kern w:val="0"/>
              </w:rPr>
              <w:t>1</w:t>
            </w:r>
            <w:r>
              <w:rPr>
                <w:rFonts w:hint="eastAsia" w:ascii="宋体" w:cs="宋体"/>
                <w:kern w:val="0"/>
              </w:rPr>
              <w:t>分。</w:t>
            </w:r>
          </w:p>
          <w:p>
            <w:pPr>
              <w:widowControl/>
              <w:spacing w:line="360" w:lineRule="auto"/>
              <w:jc w:val="left"/>
              <w:rPr>
                <w:rFonts w:ascii="宋体" w:cs="宋体"/>
                <w:kern w:val="0"/>
              </w:rPr>
            </w:pPr>
            <w:r>
              <w:rPr>
                <w:rFonts w:hint="eastAsia" w:ascii="宋体" w:cs="宋体"/>
                <w:kern w:val="0"/>
              </w:rPr>
              <w:t>本项得分低于</w:t>
            </w:r>
            <w:r>
              <w:rPr>
                <w:rFonts w:ascii="宋体" w:cs="宋体"/>
                <w:kern w:val="0"/>
              </w:rPr>
              <w:t>18</w:t>
            </w:r>
            <w:r>
              <w:rPr>
                <w:rFonts w:hint="eastAsia" w:ascii="宋体" w:cs="宋体"/>
                <w:kern w:val="0"/>
              </w:rPr>
              <w:t>分的，为无效投标。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jc w:val="center"/>
        </w:trPr>
        <w:tc>
          <w:tcPr>
            <w:tcW w:w="1285" w:type="dxa"/>
            <w:vAlign w:val="center"/>
          </w:tcPr>
          <w:p>
            <w:pPr>
              <w:snapToGrid w:val="0"/>
              <w:spacing w:line="360" w:lineRule="auto"/>
              <w:jc w:val="center"/>
              <w:rPr>
                <w:rFonts w:ascii="宋体"/>
                <w:b/>
                <w:bCs/>
              </w:rPr>
            </w:pPr>
            <w:r>
              <w:rPr>
                <w:rFonts w:hint="eastAsia"/>
                <w:b/>
                <w:bCs/>
              </w:rPr>
              <w:t>现场演示与介绍</w:t>
            </w:r>
          </w:p>
        </w:tc>
        <w:tc>
          <w:tcPr>
            <w:tcW w:w="850" w:type="dxa"/>
            <w:vAlign w:val="center"/>
          </w:tcPr>
          <w:p>
            <w:pPr>
              <w:snapToGrid w:val="0"/>
              <w:spacing w:line="360" w:lineRule="auto"/>
              <w:jc w:val="center"/>
              <w:rPr>
                <w:rFonts w:ascii="宋体"/>
              </w:rPr>
            </w:pPr>
            <w:r>
              <w:rPr>
                <w:rFonts w:ascii="宋体" w:hAnsi="宋体"/>
              </w:rPr>
              <w:t>17</w:t>
            </w:r>
          </w:p>
        </w:tc>
        <w:tc>
          <w:tcPr>
            <w:tcW w:w="7123" w:type="dxa"/>
          </w:tcPr>
          <w:p>
            <w:pPr>
              <w:spacing w:line="360" w:lineRule="auto"/>
              <w:jc w:val="left"/>
              <w:rPr>
                <w:rFonts w:ascii="宋体" w:cs="宋体"/>
                <w:kern w:val="0"/>
              </w:rPr>
            </w:pPr>
            <w:r>
              <w:rPr>
                <w:rFonts w:hint="eastAsia" w:ascii="宋体" w:hAnsi="宋体"/>
                <w:bCs/>
              </w:rPr>
              <w:t>虚拟仿真实验项目必须进行现场演示或者基本架构介绍（以</w:t>
            </w:r>
            <w:r>
              <w:rPr>
                <w:rFonts w:ascii="宋体" w:hAnsi="宋体"/>
                <w:bCs/>
              </w:rPr>
              <w:t>PPT</w:t>
            </w:r>
            <w:r>
              <w:rPr>
                <w:rFonts w:hint="eastAsia" w:ascii="宋体" w:hAnsi="宋体"/>
                <w:bCs/>
              </w:rPr>
              <w:t>方式），评委按演示或介绍效果进行综合评价。优秀：</w:t>
            </w:r>
            <w:r>
              <w:rPr>
                <w:rFonts w:ascii="宋体" w:hAnsi="宋体"/>
                <w:bCs/>
              </w:rPr>
              <w:t>17-14</w:t>
            </w:r>
            <w:r>
              <w:rPr>
                <w:rFonts w:hint="eastAsia" w:ascii="宋体" w:hAnsi="宋体"/>
                <w:bCs/>
              </w:rPr>
              <w:t>分，良好：</w:t>
            </w:r>
            <w:r>
              <w:rPr>
                <w:rFonts w:ascii="宋体" w:hAnsi="宋体"/>
                <w:bCs/>
              </w:rPr>
              <w:t>13-10</w:t>
            </w:r>
            <w:r>
              <w:rPr>
                <w:rFonts w:hint="eastAsia" w:ascii="宋体" w:hAnsi="宋体"/>
                <w:bCs/>
              </w:rPr>
              <w:t>分，一般：</w:t>
            </w:r>
            <w:r>
              <w:rPr>
                <w:rFonts w:ascii="宋体" w:hAnsi="宋体"/>
                <w:bCs/>
              </w:rPr>
              <w:t>9</w:t>
            </w:r>
            <w:r>
              <w:rPr>
                <w:rFonts w:hint="eastAsia" w:ascii="宋体" w:hAnsi="宋体"/>
                <w:bCs/>
              </w:rPr>
              <w:t>分及以下。未实质性演示或者未介绍的为无效投标。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jc w:val="center"/>
        </w:trPr>
        <w:tc>
          <w:tcPr>
            <w:tcW w:w="1285" w:type="dxa"/>
            <w:vAlign w:val="center"/>
          </w:tcPr>
          <w:p>
            <w:pPr>
              <w:snapToGrid w:val="0"/>
              <w:spacing w:line="360" w:lineRule="auto"/>
              <w:jc w:val="center"/>
              <w:rPr>
                <w:b/>
                <w:bCs/>
              </w:rPr>
            </w:pPr>
            <w:r>
              <w:rPr>
                <w:rFonts w:hint="eastAsia"/>
                <w:b/>
                <w:bCs/>
              </w:rPr>
              <w:t>业绩</w:t>
            </w:r>
          </w:p>
        </w:tc>
        <w:tc>
          <w:tcPr>
            <w:tcW w:w="850" w:type="dxa"/>
            <w:vAlign w:val="center"/>
          </w:tcPr>
          <w:p>
            <w:pPr>
              <w:snapToGrid w:val="0"/>
              <w:spacing w:line="360" w:lineRule="auto"/>
              <w:jc w:val="center"/>
              <w:rPr>
                <w:rFonts w:ascii="宋体"/>
              </w:rPr>
            </w:pPr>
            <w:r>
              <w:rPr>
                <w:rFonts w:ascii="宋体" w:hAnsi="宋体"/>
              </w:rPr>
              <w:t>5</w:t>
            </w:r>
          </w:p>
        </w:tc>
        <w:tc>
          <w:tcPr>
            <w:tcW w:w="7123" w:type="dxa"/>
          </w:tcPr>
          <w:p>
            <w:pPr>
              <w:spacing w:line="360" w:lineRule="auto"/>
              <w:jc w:val="left"/>
              <w:rPr>
                <w:rFonts w:ascii="宋体"/>
                <w:bCs/>
              </w:rPr>
            </w:pPr>
            <w:r>
              <w:rPr>
                <w:rFonts w:hint="eastAsia" w:ascii="宋体" w:hAnsi="宋体"/>
                <w:bCs/>
              </w:rPr>
              <w:t>投标人</w:t>
            </w:r>
            <w:r>
              <w:rPr>
                <w:rFonts w:ascii="宋体" w:hAnsi="宋体"/>
                <w:bCs/>
              </w:rPr>
              <w:t>2016</w:t>
            </w:r>
            <w:r>
              <w:rPr>
                <w:rFonts w:hint="eastAsia" w:ascii="宋体" w:hAnsi="宋体"/>
                <w:bCs/>
              </w:rPr>
              <w:t>年</w:t>
            </w:r>
            <w:r>
              <w:rPr>
                <w:rFonts w:ascii="宋体" w:hAnsi="宋体"/>
                <w:bCs/>
              </w:rPr>
              <w:t>1</w:t>
            </w:r>
            <w:r>
              <w:rPr>
                <w:rFonts w:hint="eastAsia" w:ascii="宋体" w:hAnsi="宋体"/>
                <w:bCs/>
              </w:rPr>
              <w:t>月以来签订实施的直接相关业绩（虚拟仿真实验项目），合同金额在</w:t>
            </w:r>
            <w:r>
              <w:rPr>
                <w:rFonts w:ascii="宋体" w:hAnsi="宋体"/>
                <w:bCs/>
              </w:rPr>
              <w:t>20</w:t>
            </w:r>
            <w:r>
              <w:rPr>
                <w:rFonts w:hint="eastAsia" w:ascii="宋体" w:hAnsi="宋体"/>
                <w:bCs/>
              </w:rPr>
              <w:t>万元及以上的项目，有一项加</w:t>
            </w:r>
            <w:r>
              <w:rPr>
                <w:rFonts w:ascii="宋体" w:hAnsi="宋体"/>
                <w:bCs/>
              </w:rPr>
              <w:t>1</w:t>
            </w:r>
            <w:r>
              <w:rPr>
                <w:rFonts w:hint="eastAsia" w:ascii="宋体" w:hAnsi="宋体"/>
                <w:bCs/>
              </w:rPr>
              <w:t>分，最多加</w:t>
            </w:r>
            <w:r>
              <w:rPr>
                <w:rFonts w:ascii="宋体" w:hAnsi="宋体"/>
                <w:bCs/>
              </w:rPr>
              <w:t>5</w:t>
            </w:r>
            <w:r>
              <w:rPr>
                <w:rFonts w:hint="eastAsia" w:ascii="宋体" w:hAnsi="宋体"/>
                <w:bCs/>
              </w:rPr>
              <w:t>分。</w:t>
            </w:r>
            <w:r>
              <w:rPr>
                <w:rFonts w:hint="eastAsia"/>
              </w:rPr>
              <w:t>（提供合同复印件，不提供不加分）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285" w:type="dxa"/>
            <w:vAlign w:val="center"/>
          </w:tcPr>
          <w:p>
            <w:pPr>
              <w:snapToGrid w:val="0"/>
              <w:spacing w:line="360" w:lineRule="auto"/>
              <w:jc w:val="center"/>
              <w:rPr>
                <w:rFonts w:ascii="宋体"/>
                <w:b/>
                <w:bCs/>
              </w:rPr>
            </w:pPr>
            <w:r>
              <w:rPr>
                <w:rFonts w:hint="eastAsia" w:ascii="宋体" w:hAnsi="宋体"/>
                <w:b/>
                <w:bCs/>
              </w:rPr>
              <w:t>售后服务</w:t>
            </w:r>
          </w:p>
        </w:tc>
        <w:tc>
          <w:tcPr>
            <w:tcW w:w="850" w:type="dxa"/>
            <w:vAlign w:val="center"/>
          </w:tcPr>
          <w:p>
            <w:pPr>
              <w:widowControl/>
              <w:spacing w:line="360" w:lineRule="auto"/>
              <w:jc w:val="center"/>
              <w:rPr>
                <w:rFonts w:ascii="宋体" w:cs="宋体"/>
                <w:kern w:val="0"/>
              </w:rPr>
            </w:pPr>
            <w:r>
              <w:rPr>
                <w:rFonts w:ascii="宋体" w:cs="宋体"/>
                <w:kern w:val="0"/>
              </w:rPr>
              <w:t>8</w:t>
            </w:r>
          </w:p>
        </w:tc>
        <w:tc>
          <w:tcPr>
            <w:tcW w:w="7123" w:type="dxa"/>
          </w:tcPr>
          <w:p>
            <w:pPr>
              <w:widowControl/>
              <w:jc w:val="left"/>
              <w:rPr>
                <w:rFonts w:ascii="宋体" w:cs="宋体"/>
                <w:kern w:val="0"/>
              </w:rPr>
            </w:pPr>
            <w:r>
              <w:rPr>
                <w:rFonts w:hint="eastAsia" w:ascii="宋体" w:cs="宋体"/>
                <w:kern w:val="0"/>
              </w:rPr>
              <w:t>免费升级、质保期限不少于三年。在此基础上每增加一年免费升级、免费质保加</w:t>
            </w:r>
            <w:r>
              <w:rPr>
                <w:rFonts w:ascii="宋体" w:cs="宋体"/>
                <w:kern w:val="0"/>
              </w:rPr>
              <w:t>1</w:t>
            </w:r>
            <w:r>
              <w:rPr>
                <w:rFonts w:hint="eastAsia" w:ascii="宋体" w:cs="宋体"/>
                <w:kern w:val="0"/>
              </w:rPr>
              <w:t>分，最多加</w:t>
            </w:r>
            <w:r>
              <w:rPr>
                <w:rFonts w:ascii="宋体" w:cs="宋体"/>
                <w:kern w:val="0"/>
              </w:rPr>
              <w:t>3</w:t>
            </w:r>
            <w:r>
              <w:rPr>
                <w:rFonts w:hint="eastAsia" w:ascii="宋体" w:cs="宋体"/>
                <w:kern w:val="0"/>
              </w:rPr>
              <w:t>分。</w:t>
            </w:r>
          </w:p>
          <w:p>
            <w:pPr>
              <w:widowControl/>
              <w:jc w:val="left"/>
              <w:rPr>
                <w:rFonts w:ascii="宋体" w:cs="宋体"/>
                <w:kern w:val="0"/>
              </w:rPr>
            </w:pPr>
            <w:r>
              <w:rPr>
                <w:rFonts w:hint="eastAsia" w:ascii="宋体" w:cs="宋体"/>
                <w:kern w:val="0"/>
              </w:rPr>
              <w:t>根据售后服务承诺的范围和完善程度（维保、升级服务标准，故障响应修复时间方式及保障措施、过保后服务承诺、服务收费等）综合评价，优为</w:t>
            </w:r>
            <w:r>
              <w:rPr>
                <w:rFonts w:ascii="宋体" w:cs="宋体"/>
                <w:kern w:val="0"/>
              </w:rPr>
              <w:t>5</w:t>
            </w:r>
            <w:r>
              <w:rPr>
                <w:rFonts w:hint="eastAsia" w:ascii="宋体" w:cs="宋体"/>
                <w:kern w:val="0"/>
              </w:rPr>
              <w:t>分，良好为</w:t>
            </w:r>
            <w:r>
              <w:rPr>
                <w:rFonts w:ascii="宋体" w:cs="宋体"/>
                <w:kern w:val="0"/>
              </w:rPr>
              <w:t>3-4</w:t>
            </w:r>
            <w:r>
              <w:rPr>
                <w:rFonts w:hint="eastAsia" w:ascii="宋体" w:cs="宋体"/>
                <w:kern w:val="0"/>
              </w:rPr>
              <w:t>分，一般为</w:t>
            </w:r>
            <w:r>
              <w:rPr>
                <w:rFonts w:ascii="宋体" w:cs="宋体"/>
                <w:kern w:val="0"/>
              </w:rPr>
              <w:t>2-3</w:t>
            </w:r>
            <w:r>
              <w:rPr>
                <w:rFonts w:hint="eastAsia" w:ascii="宋体" w:cs="宋体"/>
                <w:kern w:val="0"/>
              </w:rPr>
              <w:t>分，差为</w:t>
            </w:r>
            <w:r>
              <w:rPr>
                <w:rFonts w:ascii="宋体" w:cs="宋体"/>
                <w:kern w:val="0"/>
              </w:rPr>
              <w:t>2</w:t>
            </w:r>
            <w:r>
              <w:rPr>
                <w:rFonts w:hint="eastAsia" w:ascii="宋体" w:cs="宋体"/>
                <w:kern w:val="0"/>
              </w:rPr>
              <w:t>分以下。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8" w:hRule="atLeast"/>
          <w:jc w:val="center"/>
        </w:trPr>
        <w:tc>
          <w:tcPr>
            <w:tcW w:w="1285" w:type="dxa"/>
            <w:vAlign w:val="center"/>
          </w:tcPr>
          <w:p>
            <w:pPr>
              <w:snapToGrid w:val="0"/>
              <w:spacing w:line="360" w:lineRule="auto"/>
              <w:ind w:left="-210" w:leftChars="-100" w:right="-210" w:rightChars="-100"/>
              <w:jc w:val="center"/>
            </w:pPr>
            <w:r>
              <w:rPr>
                <w:rFonts w:hint="eastAsia" w:ascii="宋体" w:hAnsi="宋体"/>
                <w:b/>
                <w:bCs/>
              </w:rPr>
              <w:t>总分</w:t>
            </w:r>
            <w:r>
              <w:rPr>
                <w:rFonts w:ascii="宋体" w:hAnsi="宋体"/>
                <w:b/>
                <w:bCs/>
              </w:rPr>
              <w:t>)</w:t>
            </w:r>
          </w:p>
        </w:tc>
        <w:tc>
          <w:tcPr>
            <w:tcW w:w="850" w:type="dxa"/>
            <w:vAlign w:val="center"/>
          </w:tcPr>
          <w:p>
            <w:pPr>
              <w:jc w:val="center"/>
            </w:pPr>
            <w:r>
              <w:rPr>
                <w:rFonts w:ascii="宋体" w:hAnsi="宋体"/>
                <w:b/>
                <w:bCs/>
              </w:rPr>
              <w:t>100</w:t>
            </w:r>
            <w:r>
              <w:rPr>
                <w:rFonts w:hint="eastAsia" w:ascii="宋体" w:hAnsi="宋体"/>
                <w:b/>
                <w:bCs/>
              </w:rPr>
              <w:t>分</w:t>
            </w:r>
          </w:p>
        </w:tc>
        <w:tc>
          <w:tcPr>
            <w:tcW w:w="7123" w:type="dxa"/>
          </w:tcPr>
          <w:p/>
        </w:tc>
      </w:tr>
    </w:tbl>
    <w:p>
      <w:pPr>
        <w:spacing w:line="440" w:lineRule="exact"/>
        <w:ind w:firstLine="480" w:firstLineChars="200"/>
        <w:rPr>
          <w:sz w:val="24"/>
          <w:szCs w:val="24"/>
        </w:rPr>
      </w:pPr>
    </w:p>
    <w:p>
      <w:pPr>
        <w:spacing w:line="440" w:lineRule="exact"/>
        <w:ind w:firstLine="480" w:firstLineChars="200"/>
        <w:rPr>
          <w:rFonts w:ascii="宋体"/>
          <w:sz w:val="24"/>
        </w:rPr>
      </w:pPr>
      <w:r>
        <w:rPr>
          <w:rFonts w:hint="eastAsia" w:ascii="宋体" w:hAnsi="宋体"/>
          <w:sz w:val="24"/>
        </w:rPr>
        <w:t>十、磋商程序</w:t>
      </w:r>
    </w:p>
    <w:p>
      <w:pPr>
        <w:spacing w:line="440" w:lineRule="exact"/>
        <w:ind w:firstLine="480" w:firstLineChars="200"/>
        <w:rPr>
          <w:rFonts w:ascii="宋体"/>
          <w:sz w:val="24"/>
        </w:rPr>
      </w:pPr>
      <w:r>
        <w:rPr>
          <w:rFonts w:hint="eastAsia" w:ascii="宋体" w:hAnsi="宋体"/>
          <w:sz w:val="24"/>
          <w:lang w:val="zh-CN"/>
        </w:rPr>
        <w:t>磋商工作由淮阴工学院招投标办公室负责组织，具体评标事务由依法组建的</w:t>
      </w:r>
      <w:r>
        <w:rPr>
          <w:rFonts w:hint="eastAsia"/>
          <w:sz w:val="24"/>
          <w:szCs w:val="24"/>
        </w:rPr>
        <w:t>磋商小组</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磋商响应文件的资格审查</w:t>
      </w:r>
    </w:p>
    <w:p>
      <w:pPr>
        <w:spacing w:line="440" w:lineRule="exact"/>
        <w:ind w:firstLine="480" w:firstLineChars="200"/>
        <w:rPr>
          <w:rFonts w:ascii="宋体"/>
          <w:sz w:val="24"/>
        </w:rPr>
      </w:pPr>
      <w:r>
        <w:rPr>
          <w:rFonts w:hint="eastAsia" w:ascii="宋体" w:hAnsi="宋体"/>
          <w:sz w:val="24"/>
          <w:lang w:val="zh-CN"/>
        </w:rPr>
        <w:t>依据法律法规和竞争性磋商文件的规定，采购人组织对磋商响应文件中的资格证明文件、磋商保证金等进行审查，以确定投标供人是否具备投标资格。不符合竞争性磋商文件规定的资格要求的磋商响应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磋商响应文件的符合性审查</w:t>
      </w:r>
    </w:p>
    <w:p>
      <w:pPr>
        <w:spacing w:line="440" w:lineRule="exact"/>
        <w:ind w:firstLine="480" w:firstLineChars="200"/>
        <w:rPr>
          <w:rFonts w:ascii="宋体" w:cs="宋体"/>
          <w:kern w:val="0"/>
          <w:sz w:val="24"/>
          <w:lang w:val="zh-CN"/>
        </w:rPr>
      </w:pPr>
      <w:r>
        <w:rPr>
          <w:rFonts w:ascii="宋体" w:hAnsi="宋体" w:cs="宋体"/>
          <w:kern w:val="0"/>
          <w:sz w:val="24"/>
          <w:lang w:val="zh-CN"/>
        </w:rPr>
        <w:t>2.1</w:t>
      </w:r>
      <w:r>
        <w:rPr>
          <w:rFonts w:hint="eastAsia" w:ascii="宋体" w:hAnsi="宋体" w:cs="宋体"/>
          <w:kern w:val="0"/>
          <w:sz w:val="24"/>
          <w:lang w:val="zh-CN"/>
        </w:rPr>
        <w:t>磋商小组将依据法律法规和竞争性磋商文件的规定，对磋商响应文件的有效性、完整性和对竞争性磋商文件的响应程度进行审查，以确定是否对竞争性磋商文件的实质性要求作出响应。实质性要求是指本竞争性磋商文件中用带星号（“</w:t>
      </w:r>
      <w:r>
        <w:rPr>
          <w:rFonts w:hint="eastAsia" w:ascii="宋体" w:cs="宋体"/>
          <w:kern w:val="0"/>
          <w:sz w:val="24"/>
          <w:lang w:val="zh-CN"/>
        </w:rPr>
        <w:t>★</w:t>
      </w:r>
      <w:r>
        <w:rPr>
          <w:rFonts w:hint="eastAsia" w:ascii="宋体" w:hAnsi="宋体" w:cs="宋体"/>
          <w:kern w:val="0"/>
          <w:sz w:val="24"/>
          <w:lang w:val="zh-CN"/>
        </w:rPr>
        <w:t>”）的商务和技术要求。如果磋商响应文件实质上没有响应竞争性磋商文件的要求，磋商小组可作无效投标处理。</w:t>
      </w:r>
    </w:p>
    <w:p>
      <w:pPr>
        <w:spacing w:line="440" w:lineRule="exact"/>
        <w:ind w:firstLine="480" w:firstLineChars="200"/>
        <w:rPr>
          <w:rFonts w:ascii="宋体" w:cs="宋体"/>
          <w:kern w:val="0"/>
          <w:sz w:val="24"/>
          <w:lang w:val="zh-CN"/>
        </w:rPr>
      </w:pPr>
      <w:r>
        <w:rPr>
          <w:rFonts w:ascii="宋体" w:hAnsi="宋体" w:cs="宋体"/>
          <w:kern w:val="0"/>
          <w:sz w:val="24"/>
          <w:lang w:val="zh-CN"/>
        </w:rPr>
        <w:t>2.2</w:t>
      </w:r>
      <w:r>
        <w:rPr>
          <w:rFonts w:hint="eastAsia" w:ascii="宋体" w:hAnsi="宋体" w:cs="宋体"/>
          <w:kern w:val="0"/>
          <w:sz w:val="24"/>
          <w:lang w:val="zh-CN"/>
        </w:rPr>
        <w:t>投标人及其磋商响应文件有下列情况之一的，在符合性审查时按照无效投标处理</w:t>
      </w:r>
      <w:r>
        <w:rPr>
          <w:rFonts w:ascii="宋体" w:hAnsi="宋体"/>
          <w:sz w:val="24"/>
          <w:lang w:val="zh-CN"/>
        </w:rPr>
        <w:t>:</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w:t>
      </w:r>
      <w:r>
        <w:rPr>
          <w:rFonts w:hint="eastAsia" w:ascii="宋体" w:hAnsi="宋体" w:cs="宋体"/>
          <w:kern w:val="0"/>
          <w:sz w:val="24"/>
        </w:rPr>
        <w:t>）未按照竞争性磋商文件规定要求签署、盖章的；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2</w:t>
      </w:r>
      <w:r>
        <w:rPr>
          <w:rFonts w:hint="eastAsia" w:ascii="宋体" w:hAnsi="宋体" w:cs="宋体"/>
          <w:kern w:val="0"/>
          <w:sz w:val="24"/>
        </w:rPr>
        <w:t>）投标总价超出竞争性磋商文件规定的预算金额或者最高限价的；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3</w:t>
      </w:r>
      <w:r>
        <w:rPr>
          <w:rFonts w:hint="eastAsia" w:ascii="宋体" w:hAnsi="宋体" w:cs="宋体"/>
          <w:kern w:val="0"/>
          <w:sz w:val="24"/>
        </w:rPr>
        <w:t>）不同投标人的磋商响应文件由同一单位或者个人编制；</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4</w:t>
      </w:r>
      <w:r>
        <w:rPr>
          <w:rFonts w:hint="eastAsia" w:ascii="宋体" w:hAnsi="宋体" w:cs="宋体"/>
          <w:kern w:val="0"/>
          <w:sz w:val="24"/>
        </w:rPr>
        <w:t>）不同投标人委托同一单位或者个人办理投标事宜；</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5</w:t>
      </w:r>
      <w:r>
        <w:rPr>
          <w:rFonts w:hint="eastAsia" w:ascii="宋体" w:hAnsi="宋体" w:cs="宋体"/>
          <w:kern w:val="0"/>
          <w:sz w:val="24"/>
        </w:rPr>
        <w:t>）不同投标人的磋商响应文件载明的项目管理成员或者联系人员为同一人；</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6</w:t>
      </w:r>
      <w:r>
        <w:rPr>
          <w:rFonts w:hint="eastAsia" w:ascii="宋体" w:hAnsi="宋体" w:cs="宋体"/>
          <w:kern w:val="0"/>
          <w:sz w:val="24"/>
        </w:rPr>
        <w:t>）不同投标人的磋商响应文件异常一致或者投标报价呈规律性差异；</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7</w:t>
      </w:r>
      <w:r>
        <w:rPr>
          <w:rFonts w:hint="eastAsia" w:ascii="宋体" w:hAnsi="宋体" w:cs="宋体"/>
          <w:kern w:val="0"/>
          <w:sz w:val="24"/>
        </w:rPr>
        <w:t>）不同投标人的磋商响应文件相互混装；</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8</w:t>
      </w:r>
      <w:r>
        <w:rPr>
          <w:rFonts w:hint="eastAsia" w:ascii="宋体" w:hAnsi="宋体" w:cs="宋体"/>
          <w:kern w:val="0"/>
          <w:sz w:val="24"/>
        </w:rPr>
        <w:t>）不同投标人的磋商保证金从同一单位或者个人的账户转出；</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9</w:t>
      </w:r>
      <w:r>
        <w:rPr>
          <w:rFonts w:hint="eastAsia" w:ascii="宋体" w:hAnsi="宋体" w:cs="宋体"/>
          <w:kern w:val="0"/>
          <w:sz w:val="24"/>
        </w:rPr>
        <w:t>）磋商响应文件含有采购人不能接受的附加条件的，或</w:t>
      </w:r>
      <w:r>
        <w:rPr>
          <w:rFonts w:hint="eastAsia" w:ascii="宋体" w:hAnsi="宋体"/>
          <w:sz w:val="24"/>
        </w:rPr>
        <w:t>有损害采购人利益的规定的</w:t>
      </w:r>
      <w:r>
        <w:rPr>
          <w:rFonts w:hint="eastAsia" w:ascii="宋体" w:hAnsi="宋体" w:cs="宋体"/>
          <w:kern w:val="0"/>
          <w:sz w:val="24"/>
        </w:rPr>
        <w:t>；</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10</w:t>
      </w:r>
      <w:r>
        <w:rPr>
          <w:rFonts w:hint="eastAsia" w:ascii="宋体" w:hAnsi="宋体" w:cs="宋体"/>
          <w:kern w:val="0"/>
          <w:sz w:val="24"/>
        </w:rPr>
        <w:t>）磋商小组认为投标人的报价明显低于其他通过符合性审查投标人的报价，有可能影响产品质量或者不能诚信履约的，未在评标现场合理的时间内提供书面说明或相关证明材料，不能证明其报价合理的；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11</w:t>
      </w:r>
      <w:r>
        <w:rPr>
          <w:rFonts w:hint="eastAsia" w:ascii="宋体" w:hAnsi="宋体" w:cs="宋体"/>
          <w:kern w:val="0"/>
          <w:sz w:val="24"/>
        </w:rPr>
        <w:t>）在一份磋商响应文件中对同一招标项目报有两个及以上报价，且未声明哪一个有效的，但按竞争性磋商文件规定提交备选投标方案的除外；</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12</w:t>
      </w:r>
      <w:r>
        <w:rPr>
          <w:rFonts w:hint="eastAsia" w:ascii="宋体" w:hAnsi="宋体" w:cs="宋体"/>
          <w:kern w:val="0"/>
          <w:sz w:val="24"/>
        </w:rPr>
        <w:t>）重要内容或关键字迹模糊不清无法辨认的；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13</w:t>
      </w:r>
      <w:r>
        <w:rPr>
          <w:rFonts w:hint="eastAsia" w:ascii="宋体" w:hAnsi="宋体" w:cs="宋体"/>
          <w:kern w:val="0"/>
          <w:sz w:val="24"/>
        </w:rPr>
        <w:t>）投标有效期不足的；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14</w:t>
      </w:r>
      <w:r>
        <w:rPr>
          <w:rFonts w:hint="eastAsia" w:ascii="宋体" w:hAnsi="宋体" w:cs="宋体"/>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15</w:t>
      </w:r>
      <w:r>
        <w:rPr>
          <w:rFonts w:hint="eastAsia" w:ascii="宋体" w:hAnsi="宋体" w:cs="宋体"/>
          <w:kern w:val="0"/>
          <w:sz w:val="24"/>
        </w:rPr>
        <w:t>）不符合竞争性磋商文件中规定的其他实质性要求和条件的；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kern w:val="0"/>
          <w:sz w:val="24"/>
        </w:rPr>
        <w:t>（</w:t>
      </w:r>
      <w:r>
        <w:rPr>
          <w:rFonts w:ascii="宋体" w:hAnsi="宋体" w:cs="宋体"/>
          <w:kern w:val="0"/>
          <w:sz w:val="24"/>
        </w:rPr>
        <w:t>16</w:t>
      </w:r>
      <w:r>
        <w:rPr>
          <w:rFonts w:hint="eastAsia" w:ascii="宋体" w:hAnsi="宋体" w:cs="宋体"/>
          <w:kern w:val="0"/>
          <w:sz w:val="24"/>
        </w:rPr>
        <w:t>）</w:t>
      </w:r>
      <w:r>
        <w:rPr>
          <w:rFonts w:hint="eastAsia" w:ascii="宋体" w:hAnsi="宋体" w:cs="宋体"/>
          <w:kern w:val="0"/>
          <w:sz w:val="24"/>
          <w:szCs w:val="24"/>
        </w:rPr>
        <w:t>不符合法律、法规规定的其他无效情形，以及竞争性磋商文件规定的其他无效情形；</w:t>
      </w:r>
    </w:p>
    <w:p>
      <w:pPr>
        <w:widowControl/>
        <w:spacing w:line="440" w:lineRule="exact"/>
        <w:ind w:firstLine="561"/>
        <w:jc w:val="left"/>
        <w:rPr>
          <w:rFonts w:ascii="宋体" w:cs="宋体"/>
          <w:sz w:val="24"/>
        </w:rPr>
      </w:pPr>
      <w:r>
        <w:rPr>
          <w:rFonts w:hint="eastAsia" w:ascii="宋体" w:hAnsi="宋体" w:cs="宋体"/>
          <w:kern w:val="0"/>
          <w:sz w:val="24"/>
        </w:rPr>
        <w:t>（</w:t>
      </w:r>
      <w:r>
        <w:rPr>
          <w:rFonts w:ascii="宋体" w:hAnsi="宋体" w:cs="宋体"/>
          <w:kern w:val="0"/>
          <w:sz w:val="24"/>
        </w:rPr>
        <w:t>17</w:t>
      </w:r>
      <w:r>
        <w:rPr>
          <w:rFonts w:hint="eastAsia" w:ascii="宋体" w:hAnsi="宋体" w:cs="宋体"/>
          <w:kern w:val="0"/>
          <w:sz w:val="24"/>
        </w:rPr>
        <w:t>）加</w:t>
      </w:r>
      <w:r>
        <w:rPr>
          <w:rFonts w:hint="eastAsia" w:ascii="宋体" w:hAnsi="宋体" w:cs="宋体"/>
          <w:sz w:val="24"/>
        </w:rPr>
        <w:t>“★”的技术指标为负偏离的；</w:t>
      </w:r>
    </w:p>
    <w:p>
      <w:pPr>
        <w:widowControl/>
        <w:spacing w:line="440" w:lineRule="exact"/>
        <w:ind w:firstLine="561"/>
        <w:jc w:val="left"/>
        <w:rPr>
          <w:rFonts w:ascii="宋体" w:cs="宋体"/>
          <w:sz w:val="24"/>
        </w:rPr>
      </w:pPr>
      <w:r>
        <w:rPr>
          <w:rFonts w:hint="eastAsia" w:ascii="宋体" w:hAnsi="宋体" w:cs="宋体"/>
          <w:sz w:val="24"/>
        </w:rPr>
        <w:t>（</w:t>
      </w:r>
      <w:r>
        <w:rPr>
          <w:rFonts w:ascii="宋体" w:hAnsi="宋体" w:cs="宋体"/>
          <w:sz w:val="24"/>
        </w:rPr>
        <w:t>18</w:t>
      </w:r>
      <w:r>
        <w:rPr>
          <w:rFonts w:hint="eastAsia" w:ascii="宋体" w:hAnsi="宋体" w:cs="宋体"/>
          <w:sz w:val="24"/>
        </w:rPr>
        <w:t>）未进行实质性演示或未进行介绍的；</w:t>
      </w:r>
    </w:p>
    <w:p>
      <w:pPr>
        <w:widowControl/>
        <w:spacing w:line="440" w:lineRule="exact"/>
        <w:ind w:firstLine="561"/>
        <w:jc w:val="left"/>
        <w:rPr>
          <w:rFonts w:ascii="宋体" w:cs="宋体"/>
          <w:sz w:val="24"/>
        </w:rPr>
      </w:pPr>
      <w:r>
        <w:rPr>
          <w:rFonts w:hint="eastAsia" w:ascii="宋体" w:hAnsi="宋体" w:cs="宋体"/>
          <w:sz w:val="24"/>
        </w:rPr>
        <w:t>（</w:t>
      </w:r>
      <w:r>
        <w:rPr>
          <w:rFonts w:ascii="宋体" w:hAnsi="宋体" w:cs="宋体"/>
          <w:sz w:val="24"/>
        </w:rPr>
        <w:t>19</w:t>
      </w:r>
      <w:r>
        <w:rPr>
          <w:rFonts w:hint="eastAsia" w:ascii="宋体" w:hAnsi="宋体" w:cs="宋体"/>
          <w:sz w:val="24"/>
        </w:rPr>
        <w:t>）技术得分低于该项目分值</w:t>
      </w:r>
      <w:r>
        <w:rPr>
          <w:rFonts w:ascii="宋体" w:hAnsi="宋体" w:cs="宋体"/>
          <w:sz w:val="24"/>
        </w:rPr>
        <w:t>60%</w:t>
      </w:r>
      <w:r>
        <w:rPr>
          <w:rFonts w:hint="eastAsia" w:ascii="宋体" w:hAnsi="宋体" w:cs="宋体"/>
          <w:sz w:val="24"/>
        </w:rPr>
        <w:t>的。</w:t>
      </w:r>
    </w:p>
    <w:p>
      <w:pPr>
        <w:widowControl/>
        <w:spacing w:line="440" w:lineRule="exact"/>
        <w:ind w:firstLine="561"/>
        <w:jc w:val="left"/>
        <w:rPr>
          <w:rFonts w:ascii="宋体" w:cs="宋体"/>
          <w:sz w:val="24"/>
        </w:rPr>
      </w:pPr>
      <w:r>
        <w:rPr>
          <w:rFonts w:ascii="宋体" w:hAnsi="宋体" w:cs="宋体"/>
          <w:sz w:val="24"/>
        </w:rPr>
        <w:t>2.3</w:t>
      </w:r>
      <w:r>
        <w:rPr>
          <w:rFonts w:hint="eastAsia" w:ascii="宋体" w:hAnsi="宋体" w:cs="宋体"/>
          <w:sz w:val="24"/>
        </w:rPr>
        <w:t>有下列情形之一的予以废标，同时将废标理由通知所有投标人</w:t>
      </w:r>
      <w:r>
        <w:rPr>
          <w:rFonts w:ascii="宋体" w:hAnsi="宋体" w:cs="宋体"/>
          <w:sz w:val="24"/>
        </w:rPr>
        <w:t>:</w:t>
      </w:r>
    </w:p>
    <w:p>
      <w:pPr>
        <w:widowControl/>
        <w:spacing w:line="440" w:lineRule="exact"/>
        <w:ind w:firstLine="480" w:firstLineChars="200"/>
        <w:rPr>
          <w:kern w:val="0"/>
          <w:sz w:val="24"/>
        </w:rPr>
      </w:pPr>
      <w:r>
        <w:rPr>
          <w:rFonts w:hint="eastAsia"/>
          <w:kern w:val="0"/>
          <w:sz w:val="24"/>
        </w:rPr>
        <w:t>（</w:t>
      </w:r>
      <w:r>
        <w:rPr>
          <w:kern w:val="0"/>
          <w:sz w:val="24"/>
        </w:rPr>
        <w:t>1</w:t>
      </w:r>
      <w:r>
        <w:rPr>
          <w:rFonts w:hint="eastAsia"/>
          <w:kern w:val="0"/>
          <w:sz w:val="24"/>
        </w:rPr>
        <w:t>）符合专业条件的供应商或者对竞争性磋商文件作实质响应的供应商不足三家的；</w:t>
      </w:r>
    </w:p>
    <w:p>
      <w:pPr>
        <w:widowControl/>
        <w:spacing w:line="440" w:lineRule="exact"/>
        <w:ind w:firstLine="480" w:firstLineChars="200"/>
        <w:rPr>
          <w:kern w:val="0"/>
          <w:sz w:val="24"/>
        </w:rPr>
      </w:pPr>
      <w:r>
        <w:rPr>
          <w:rFonts w:hint="eastAsia"/>
          <w:kern w:val="0"/>
          <w:sz w:val="24"/>
        </w:rPr>
        <w:t>（</w:t>
      </w:r>
      <w:r>
        <w:rPr>
          <w:kern w:val="0"/>
          <w:sz w:val="24"/>
        </w:rPr>
        <w:t>2</w:t>
      </w:r>
      <w:r>
        <w:rPr>
          <w:rFonts w:hint="eastAsia"/>
          <w:kern w:val="0"/>
          <w:sz w:val="24"/>
        </w:rPr>
        <w:t>）出现影响采购公正的违法、违规行为的；</w:t>
      </w:r>
    </w:p>
    <w:p>
      <w:pPr>
        <w:widowControl/>
        <w:spacing w:line="440" w:lineRule="exact"/>
        <w:ind w:firstLine="480" w:firstLineChars="200"/>
        <w:rPr>
          <w:kern w:val="0"/>
          <w:sz w:val="24"/>
        </w:rPr>
      </w:pPr>
      <w:r>
        <w:rPr>
          <w:rFonts w:hint="eastAsia"/>
          <w:kern w:val="0"/>
          <w:sz w:val="24"/>
        </w:rPr>
        <w:t>（</w:t>
      </w:r>
      <w:r>
        <w:rPr>
          <w:kern w:val="0"/>
          <w:sz w:val="24"/>
        </w:rPr>
        <w:t>3</w:t>
      </w:r>
      <w:r>
        <w:rPr>
          <w:rFonts w:hint="eastAsia"/>
          <w:kern w:val="0"/>
          <w:sz w:val="24"/>
        </w:rPr>
        <w:t>）投标人的报价均超过了采购预算或最高限价，学校不能支付的；</w:t>
      </w:r>
      <w:r>
        <w:rPr>
          <w:kern w:val="0"/>
          <w:sz w:val="24"/>
        </w:rPr>
        <w:br w:type="textWrapping"/>
      </w:r>
      <w:r>
        <w:rPr>
          <w:rFonts w:hint="eastAsia"/>
          <w:kern w:val="0"/>
          <w:sz w:val="24"/>
        </w:rPr>
        <w:t>　　（</w:t>
      </w:r>
      <w:r>
        <w:rPr>
          <w:kern w:val="0"/>
          <w:sz w:val="24"/>
        </w:rPr>
        <w:t>4</w:t>
      </w:r>
      <w:r>
        <w:rPr>
          <w:rFonts w:hint="eastAsia"/>
          <w:kern w:val="0"/>
          <w:sz w:val="24"/>
        </w:rPr>
        <w:t>）因重要变故，采购任务取消的；</w:t>
      </w:r>
    </w:p>
    <w:p>
      <w:pPr>
        <w:widowControl/>
        <w:spacing w:line="440" w:lineRule="exact"/>
        <w:ind w:firstLine="480" w:firstLineChars="200"/>
        <w:rPr>
          <w:kern w:val="0"/>
          <w:sz w:val="24"/>
        </w:rPr>
      </w:pPr>
      <w:r>
        <w:rPr>
          <w:rFonts w:hint="eastAsia"/>
          <w:kern w:val="0"/>
          <w:sz w:val="24"/>
        </w:rPr>
        <w:t>（</w:t>
      </w:r>
      <w:r>
        <w:rPr>
          <w:kern w:val="0"/>
          <w:sz w:val="24"/>
        </w:rPr>
        <w:t>5</w:t>
      </w:r>
      <w:r>
        <w:rPr>
          <w:rFonts w:hint="eastAsia"/>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磋商响应文件的投标报价审查</w:t>
      </w:r>
    </w:p>
    <w:p>
      <w:pPr>
        <w:spacing w:line="440" w:lineRule="exact"/>
        <w:ind w:firstLine="480" w:firstLineChars="200"/>
        <w:rPr>
          <w:rFonts w:ascii="宋体"/>
          <w:bCs/>
          <w:sz w:val="24"/>
        </w:rPr>
      </w:pPr>
      <w:r>
        <w:rPr>
          <w:rFonts w:hint="eastAsia" w:ascii="宋体" w:hAnsi="宋体"/>
          <w:bCs/>
          <w:sz w:val="24"/>
        </w:rPr>
        <w:t>磋商小组将对确定为实质性响应的投标进行进一步审核，看其是否有计算上或累加上的算术错误，修正错误的原则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磋商响应文件中投标函内容与磋商响应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磋商小组将按上述修正错误的方法调整磋商响应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磋商响应文件的澄清</w:t>
      </w:r>
    </w:p>
    <w:p>
      <w:pPr>
        <w:spacing w:line="440" w:lineRule="exact"/>
        <w:ind w:firstLine="480" w:firstLineChars="200"/>
        <w:rPr>
          <w:rFonts w:ascii="宋体"/>
          <w:sz w:val="24"/>
        </w:rPr>
      </w:pPr>
      <w:r>
        <w:rPr>
          <w:rFonts w:hint="eastAsia" w:ascii="宋体" w:hAnsi="宋体"/>
          <w:sz w:val="24"/>
        </w:rPr>
        <w:t>对磋商响应文件中含义不明确、同类问题表述不一致或者明显文字错误的内容，磋商小组可以要求投标人作出必要的澄清、说明或者补正。投标人的澄清、说明、补正应当采用书面形式，由其授权代表签字，但不得超出磋商响应文件的范围或者改变磋商响应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磋商小组将对通过资格性审查和符合性审查的磋商响应文件进行评价和比较。磋商小组按竞争性磋商文件中公布的评标标准对每份合格磋商响应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磋商响应文件和中标意向等有关信息，相关当事人均不得泄露给任何供应商或与评审工作无关的人员。投标人不得探听上述信息，不得以任何行为影响评标过程，否则其磋商响应文件将被作无效处理。在评审期间，采购人将有专门人员与投标人进行联络。</w:t>
      </w:r>
      <w:r>
        <w:rPr>
          <w:rFonts w:ascii="宋体" w:hAnsi="宋体"/>
          <w:sz w:val="24"/>
        </w:rPr>
        <w:t xml:space="preserve"> </w:t>
      </w:r>
      <w:r>
        <w:rPr>
          <w:rFonts w:hint="eastAsia" w:ascii="宋体" w:hAnsi="宋体"/>
          <w:sz w:val="24"/>
        </w:rPr>
        <w:t>采购人和磋商小组不向未中标的投标人解释未中标原因，也不公布评审过程中的相关细节。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磋商小组根据竞争性磋商文件中规定的评标标准对投标人进行综合评审，最终按综合评审得分由高到低的顺序推荐出中标候选人。采购人根据磋商小组推荐的中标候选人确认中标人。</w:t>
      </w:r>
    </w:p>
    <w:p>
      <w:pPr>
        <w:widowControl/>
        <w:spacing w:line="440" w:lineRule="exact"/>
        <w:ind w:firstLine="480" w:firstLineChars="200"/>
        <w:rPr>
          <w:kern w:val="0"/>
          <w:sz w:val="24"/>
          <w:szCs w:val="24"/>
        </w:rPr>
      </w:pPr>
      <w:r>
        <w:rPr>
          <w:rFonts w:hint="eastAsia"/>
          <w:kern w:val="0"/>
          <w:sz w:val="24"/>
          <w:szCs w:val="24"/>
        </w:rPr>
        <w:t>十一、定标与签约</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rPr>
          <w:rFonts w:hint="eastAsia" w:ascii="Times New Roman" w:hAnsi="Times New Roman"/>
          <w:color w:val="auto"/>
        </w:rPr>
        <w:t>招标项目评审结果确定后，采购人将在学校网站（招标公告发布的网站）第一时间公示评审结果，公示时间为</w:t>
      </w:r>
      <w:r>
        <w:rPr>
          <w:rFonts w:ascii="Times New Roman" w:hAnsi="Times New Roman"/>
          <w:color w:val="auto"/>
        </w:rPr>
        <w:t>1</w:t>
      </w:r>
      <w:r>
        <w:rPr>
          <w:rFonts w:hint="eastAsia" w:ascii="Times New Roman" w:hAnsi="Times New Roman"/>
          <w:color w:val="auto"/>
        </w:rPr>
        <w:t>个工作日，</w:t>
      </w:r>
      <w:r>
        <w:rPr>
          <w:rFonts w:hint="eastAsia" w:ascii="Times New Roman" w:hAnsi="Times New Roman"/>
          <w:color w:val="auto"/>
          <w:shd w:val="clear" w:color="auto" w:fill="FFFFFF"/>
        </w:rPr>
        <w:t>请注意及时查询</w:t>
      </w:r>
      <w:r>
        <w:rPr>
          <w:rFonts w:hint="eastAsia" w:ascii="Times New Roman" w:hAnsi="Times New Roman"/>
          <w:color w:val="auto"/>
        </w:rPr>
        <w:t>，对其它未中标单位将不单独通知，未中标的原因不进行解释。</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2.</w:t>
      </w:r>
      <w:r>
        <w:rPr>
          <w:rFonts w:hint="eastAsia" w:ascii="Times New Roman" w:hAnsi="Times New Roman"/>
          <w:color w:val="auto"/>
        </w:rPr>
        <w:t>中标候选人出现下列情况之一的，一经查实，将被取消中标资格：</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1</w:t>
      </w:r>
      <w:r>
        <w:rPr>
          <w:rFonts w:hint="eastAsia" w:ascii="Times New Roman" w:hAnsi="Times New Roman"/>
          <w:color w:val="auto"/>
        </w:rPr>
        <w:t>）提供虚假材料谋取中标的；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2</w:t>
      </w:r>
      <w:r>
        <w:rPr>
          <w:rFonts w:hint="eastAsia" w:ascii="Times New Roman" w:hAnsi="Times New Roman"/>
          <w:color w:val="auto"/>
        </w:rPr>
        <w:t>）与评审专家、采购人、其他供应商或者招投标办公室工作人员恶意串通的；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3</w:t>
      </w:r>
      <w:r>
        <w:rPr>
          <w:rFonts w:hint="eastAsia" w:ascii="Times New Roman" w:hAnsi="Times New Roman"/>
          <w:color w:val="auto"/>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4</w:t>
      </w:r>
      <w:r>
        <w:rPr>
          <w:rFonts w:hint="eastAsia" w:ascii="Times New Roman" w:hAnsi="Times New Roman"/>
          <w:color w:val="auto"/>
        </w:rPr>
        <w:t>）恶意竞争，投标总报价明显低于其自身合理成本且又无法提供证明的；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5</w:t>
      </w:r>
      <w:r>
        <w:rPr>
          <w:rFonts w:hint="eastAsia" w:ascii="Times New Roman" w:hAnsi="Times New Roman"/>
          <w:color w:val="auto"/>
        </w:rPr>
        <w:t>）不满足本竞争性磋商文件规定的实质性要求，但在评标过程中又未被评委发现的；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6</w:t>
      </w:r>
      <w:r>
        <w:rPr>
          <w:rFonts w:hint="eastAsia" w:ascii="Times New Roman" w:hAnsi="Times New Roman"/>
          <w:color w:val="auto"/>
        </w:rPr>
        <w:t>）不符合法律、法规的规定的其它情形。</w:t>
      </w:r>
    </w:p>
    <w:p>
      <w:pPr>
        <w:pStyle w:val="10"/>
        <w:shd w:val="clear" w:color="auto" w:fill="FFFFFF"/>
        <w:spacing w:before="0" w:beforeAutospacing="0" w:after="0" w:afterAutospacing="0" w:line="440" w:lineRule="exact"/>
        <w:ind w:firstLine="435"/>
        <w:jc w:val="both"/>
        <w:rPr>
          <w:color w:val="auto"/>
        </w:rPr>
      </w:pPr>
      <w:r>
        <w:rPr>
          <w:rFonts w:hint="eastAsia" w:ascii="Times New Roman" w:hAnsi="Times New Roman"/>
          <w:color w:val="auto"/>
        </w:rPr>
        <w:t>在此情况下一经认定，报经校招标工作领导小组批准，招投标办公室有权取消原中标候选人中标资格、</w:t>
      </w:r>
      <w:r>
        <w:rPr>
          <w:rFonts w:hint="eastAsia"/>
          <w:color w:val="auto"/>
        </w:rPr>
        <w:t>没收投标（履约）保证金、</w:t>
      </w:r>
      <w:r>
        <w:rPr>
          <w:color w:val="auto"/>
        </w:rPr>
        <w:t>1-3</w:t>
      </w:r>
      <w:r>
        <w:rPr>
          <w:rFonts w:hint="eastAsia"/>
          <w:color w:val="auto"/>
        </w:rPr>
        <w:t>年内禁止参加淮阴工学院的任何采购活动等处罚。</w:t>
      </w:r>
      <w:r>
        <w:rPr>
          <w:rFonts w:hint="eastAsia" w:ascii="Times New Roman" w:hAnsi="Times New Roman"/>
          <w:color w:val="auto"/>
        </w:rPr>
        <w:t>我校有权重新组织采购或递补中标候选人。</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w:t>
      </w:r>
      <w:r>
        <w:rPr>
          <w:rFonts w:hint="eastAsia" w:ascii="Times New Roman" w:hAnsi="Times New Roman"/>
          <w:color w:val="auto"/>
        </w:rPr>
        <w:t>质疑处理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3.1</w:t>
      </w:r>
      <w:r>
        <w:rPr>
          <w:rFonts w:hint="eastAsia" w:ascii="Times New Roman" w:hAnsi="Times New Roman"/>
          <w:color w:val="auto"/>
        </w:rPr>
        <w:t>参加投标供应商认为采购过程和采购结果使自己的权益受到损害的，可以从采购结果公示之日起</w:t>
      </w:r>
      <w:r>
        <w:rPr>
          <w:rFonts w:ascii="Times New Roman" w:hAnsi="Times New Roman"/>
          <w:color w:val="auto"/>
        </w:rPr>
        <w:t>7</w:t>
      </w:r>
      <w:r>
        <w:rPr>
          <w:rFonts w:hint="eastAsia" w:ascii="Times New Roman" w:hAnsi="Times New Roman"/>
          <w:color w:val="auto"/>
        </w:rPr>
        <w:t>个工作日内，以书面形式向采购人（招投标办公室）提出质疑。非书面形式、</w:t>
      </w:r>
      <w:r>
        <w:rPr>
          <w:rFonts w:ascii="Times New Roman" w:hAnsi="Times New Roman"/>
          <w:color w:val="auto"/>
        </w:rPr>
        <w:t>7</w:t>
      </w:r>
      <w:r>
        <w:rPr>
          <w:rFonts w:hint="eastAsia" w:ascii="Times New Roman" w:hAnsi="Times New Roman"/>
          <w:color w:val="auto"/>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3.2</w:t>
      </w:r>
      <w:r>
        <w:rPr>
          <w:rFonts w:hint="eastAsia" w:ascii="Times New Roman" w:hAnsi="Times New Roman"/>
          <w:color w:val="auto"/>
        </w:rPr>
        <w:t>质疑必须以参加投标的供应商法人代表或授权代表（磋商响应文件中所确定的）书面送达的方式提交，未按上述要求提交的质疑函，采购人有权不予受理。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3.3</w:t>
      </w:r>
      <w:r>
        <w:rPr>
          <w:rFonts w:hint="eastAsia" w:ascii="Times New Roman" w:hAnsi="Times New Roman"/>
          <w:color w:val="auto"/>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3.4</w:t>
      </w:r>
      <w:r>
        <w:rPr>
          <w:rFonts w:hint="eastAsia" w:ascii="Times New Roman" w:hAnsi="Times New Roman"/>
          <w:color w:val="auto"/>
        </w:rPr>
        <w:t>投标人提出书面质疑必须有理、有据，不得恶意质疑或提交虚假质疑。否则，采购人将不予受理。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3.5</w:t>
      </w:r>
      <w:r>
        <w:rPr>
          <w:rFonts w:hint="eastAsia" w:ascii="Times New Roman" w:hAnsi="Times New Roman"/>
          <w:color w:val="auto"/>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磋商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w:t>
      </w:r>
      <w:r>
        <w:rPr>
          <w:rFonts w:ascii="宋体" w:hAnsi="宋体"/>
          <w:sz w:val="24"/>
          <w:szCs w:val="24"/>
        </w:rPr>
        <w:t>5000</w:t>
      </w:r>
      <w:r>
        <w:rPr>
          <w:rFonts w:hint="eastAsia" w:ascii="宋体" w:hAnsi="宋体"/>
          <w:sz w:val="24"/>
          <w:szCs w:val="24"/>
        </w:rPr>
        <w:t>元的履约保证金。已交纳的磋商保证金自动转为合同履约保证金。</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履约保证金在项目验收合格后无息退还。中标人凭采购人签署的同意退还履约保证金的证明（格式详见竞争性磋商文件第四章《履约保证金退还申请》），到淮阴工学院财务处办理保证金退还手续。</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6.</w:t>
      </w:r>
      <w:r>
        <w:rPr>
          <w:rFonts w:hint="eastAsia" w:ascii="Times New Roman" w:hAnsi="Times New Roman"/>
          <w:color w:val="auto"/>
        </w:rPr>
        <w:t>本竞争性磋商文件和中标人的磋商响应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kern w:val="0"/>
          <w:sz w:val="24"/>
          <w:szCs w:val="24"/>
        </w:rPr>
      </w:pPr>
      <w:r>
        <w:rPr>
          <w:bCs/>
          <w:sz w:val="24"/>
          <w:szCs w:val="24"/>
        </w:rPr>
        <w:t>7.</w:t>
      </w:r>
      <w:r>
        <w:rPr>
          <w:rFonts w:hint="eastAsia"/>
          <w:sz w:val="24"/>
          <w:szCs w:val="24"/>
        </w:rPr>
        <w:t>投标人中标后，采购人发现其</w:t>
      </w:r>
      <w:r>
        <w:rPr>
          <w:rFonts w:hint="eastAsia"/>
          <w:bCs/>
          <w:sz w:val="24"/>
          <w:szCs w:val="24"/>
        </w:rPr>
        <w:t>磋商响应文件中有与竞争性磋商文件相抵触之处、或磋商响应文件中附有超出有关规定的条款，则仍以</w:t>
      </w:r>
      <w:r>
        <w:rPr>
          <w:rFonts w:hint="eastAsia"/>
          <w:sz w:val="24"/>
          <w:szCs w:val="24"/>
        </w:rPr>
        <w:t>竞争性磋商文件为准</w:t>
      </w:r>
      <w:r>
        <w:rPr>
          <w:rFonts w:hint="eastAsia"/>
          <w:bCs/>
          <w:sz w:val="24"/>
          <w:szCs w:val="24"/>
        </w:rPr>
        <w:t>或以</w:t>
      </w:r>
      <w:r>
        <w:rPr>
          <w:rFonts w:hint="eastAsia"/>
          <w:sz w:val="24"/>
          <w:szCs w:val="24"/>
        </w:rPr>
        <w:t>采购人解释为准。若投标人</w:t>
      </w:r>
      <w:r>
        <w:rPr>
          <w:rFonts w:hint="eastAsia"/>
          <w:bCs/>
          <w:sz w:val="24"/>
          <w:szCs w:val="24"/>
        </w:rPr>
        <w:t>仍</w:t>
      </w:r>
      <w:r>
        <w:rPr>
          <w:rFonts w:hint="eastAsia"/>
          <w:sz w:val="24"/>
          <w:szCs w:val="24"/>
        </w:rPr>
        <w:t>拒绝接受竞争性磋商文件</w:t>
      </w:r>
      <w:r>
        <w:rPr>
          <w:rFonts w:hint="eastAsia"/>
          <w:bCs/>
          <w:sz w:val="24"/>
          <w:szCs w:val="24"/>
        </w:rPr>
        <w:t>的规定或</w:t>
      </w:r>
      <w:r>
        <w:rPr>
          <w:rFonts w:hint="eastAsia"/>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w:t>
      </w:r>
      <w:r>
        <w:rPr>
          <w:rFonts w:hint="eastAsia" w:ascii="Times New Roman" w:hAnsi="Times New Roman"/>
          <w:color w:val="auto"/>
        </w:rPr>
        <w:t>货物和服务的追加和减少</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8.1</w:t>
      </w:r>
      <w:r>
        <w:rPr>
          <w:rFonts w:hint="eastAsia" w:ascii="Times New Roman" w:hAnsi="Times New Roman"/>
          <w:color w:val="auto"/>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color w:val="auto"/>
        </w:rPr>
        <w:t>10%</w:t>
      </w:r>
      <w:r>
        <w:rPr>
          <w:rFonts w:hint="eastAsia" w:ascii="Times New Roman" w:hAnsi="Times New Roman"/>
          <w:color w:val="auto"/>
        </w:rPr>
        <w:t>。</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8.2</w:t>
      </w:r>
      <w:r>
        <w:rPr>
          <w:rFonts w:hint="eastAsia" w:ascii="Times New Roman" w:hAnsi="Times New Roman"/>
          <w:color w:val="auto"/>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40" w:lineRule="exact"/>
        <w:ind w:firstLine="435"/>
        <w:jc w:val="both"/>
        <w:rPr>
          <w:color w:val="auto"/>
        </w:rPr>
      </w:pPr>
      <w:r>
        <w:rPr>
          <w:rFonts w:ascii="Times New Roman" w:hAnsi="Times New Roman"/>
          <w:color w:val="auto"/>
        </w:rPr>
        <w:t>9.</w:t>
      </w:r>
      <w:r>
        <w:rPr>
          <w:rFonts w:hint="eastAsia" w:ascii="Times New Roman" w:hAnsi="Times New Roman"/>
          <w:color w:val="auto"/>
        </w:rPr>
        <w:t>投标人须对其所提供资料的真实性和投</w:t>
      </w:r>
      <w:r>
        <w:rPr>
          <w:rFonts w:hint="eastAsia"/>
          <w:color w:val="auto"/>
        </w:rPr>
        <w:t>标行为的合法性负责，如有作假或违纪，一经发现立即取消投标（中标）资格，没收投标（履约）保证金，并将其列入不诚信行为记录名单，同时在网上进行实名通报，</w:t>
      </w:r>
      <w:r>
        <w:rPr>
          <w:color w:val="auto"/>
        </w:rPr>
        <w:t>1-3</w:t>
      </w:r>
      <w:r>
        <w:rPr>
          <w:rFonts w:hint="eastAsia"/>
          <w:color w:val="auto"/>
        </w:rPr>
        <w:t>年内禁止参加淮阴工学院的任何采购活动。</w:t>
      </w:r>
    </w:p>
    <w:p>
      <w:pPr>
        <w:pStyle w:val="10"/>
        <w:shd w:val="clear" w:color="auto" w:fill="FFFFFF"/>
        <w:spacing w:before="0" w:beforeAutospacing="0" w:after="0" w:afterAutospacing="0" w:line="440" w:lineRule="exact"/>
        <w:ind w:firstLine="435"/>
        <w:jc w:val="both"/>
        <w:rPr>
          <w:color w:val="auto"/>
        </w:rPr>
      </w:pPr>
      <w:r>
        <w:rPr>
          <w:rFonts w:hint="eastAsia"/>
          <w:color w:val="auto"/>
        </w:rPr>
        <w:t>十二、本次招标工作接受淮阴工学院纪监部门监督，各投标人如对我校招标工作的公正性有异议，可向我校纪监部门投诉，投诉电话：</w:t>
      </w:r>
      <w:r>
        <w:rPr>
          <w:color w:val="auto"/>
        </w:rPr>
        <w:t>0517-83559156</w:t>
      </w:r>
      <w:r>
        <w:rPr>
          <w:rFonts w:hint="eastAsia"/>
          <w:color w:val="auto"/>
        </w:rPr>
        <w:t>、</w:t>
      </w:r>
      <w:r>
        <w:rPr>
          <w:color w:val="auto"/>
        </w:rPr>
        <w:t>83591013</w:t>
      </w:r>
      <w:r>
        <w:rPr>
          <w:rFonts w:hint="eastAsia"/>
          <w:color w:val="auto"/>
        </w:rPr>
        <w:t>。</w:t>
      </w:r>
    </w:p>
    <w:p>
      <w:pPr>
        <w:widowControl/>
        <w:shd w:val="clear" w:color="auto" w:fill="FFFFFF"/>
        <w:spacing w:line="440" w:lineRule="exact"/>
        <w:ind w:firstLine="440"/>
        <w:rPr>
          <w:kern w:val="0"/>
          <w:sz w:val="24"/>
        </w:rPr>
      </w:pPr>
      <w:r>
        <w:rPr>
          <w:rFonts w:hint="eastAsia"/>
          <w:kern w:val="0"/>
          <w:sz w:val="24"/>
        </w:rPr>
        <w:t>十三、本竞争性磋商文件解释权归淮阴工学院招标办。本竞争性磋商文件可能会有改动，请在投标前仔细上网核查，恕不单独通知。</w:t>
      </w:r>
    </w:p>
    <w:p>
      <w:pPr>
        <w:widowControl/>
        <w:shd w:val="clear" w:color="auto" w:fill="FFFFFF"/>
        <w:spacing w:line="440" w:lineRule="exact"/>
        <w:ind w:firstLine="440"/>
        <w:rPr>
          <w:kern w:val="0"/>
          <w:sz w:val="24"/>
        </w:rPr>
      </w:pPr>
      <w:r>
        <w:rPr>
          <w:rFonts w:hint="eastAsia"/>
          <w:kern w:val="0"/>
          <w:sz w:val="24"/>
        </w:rPr>
        <w:t>十四、联系方式</w:t>
      </w:r>
    </w:p>
    <w:p>
      <w:pPr>
        <w:spacing w:line="440" w:lineRule="exact"/>
        <w:ind w:firstLine="480" w:firstLineChars="200"/>
        <w:rPr>
          <w:sz w:val="24"/>
        </w:rPr>
      </w:pPr>
      <w:r>
        <w:rPr>
          <w:rFonts w:hint="eastAsia"/>
          <w:sz w:val="24"/>
        </w:rPr>
        <w:t>技术联系人：丁祖军，联系电话：</w:t>
      </w:r>
      <w:r>
        <w:rPr>
          <w:sz w:val="24"/>
        </w:rPr>
        <w:t>13016594199</w:t>
      </w:r>
      <w:r>
        <w:rPr>
          <w:rFonts w:hint="eastAsia"/>
          <w:sz w:val="24"/>
        </w:rPr>
        <w:t>；</w:t>
      </w:r>
    </w:p>
    <w:p>
      <w:pPr>
        <w:spacing w:line="440" w:lineRule="exact"/>
        <w:ind w:firstLine="480" w:firstLineChars="200"/>
        <w:rPr>
          <w:sz w:val="24"/>
        </w:rPr>
      </w:pPr>
      <w:r>
        <w:rPr>
          <w:rFonts w:hint="eastAsia"/>
          <w:sz w:val="24"/>
        </w:rPr>
        <w:t>招标办联系人：王老师、董老师，联系电话：</w:t>
      </w:r>
      <w:r>
        <w:rPr>
          <w:sz w:val="24"/>
        </w:rPr>
        <w:t>0517-83559069</w:t>
      </w:r>
      <w:r>
        <w:rPr>
          <w:rFonts w:hint="eastAsia"/>
          <w:sz w:val="24"/>
        </w:rPr>
        <w:t>、</w:t>
      </w:r>
      <w:r>
        <w:rPr>
          <w:sz w:val="24"/>
        </w:rPr>
        <w:t>83559815</w:t>
      </w:r>
      <w:r>
        <w:rPr>
          <w:rFonts w:hint="eastAsia"/>
          <w:sz w:val="24"/>
        </w:rPr>
        <w:t>；</w:t>
      </w:r>
    </w:p>
    <w:p>
      <w:pPr>
        <w:spacing w:line="440" w:lineRule="exact"/>
        <w:ind w:firstLine="480" w:firstLineChars="200"/>
        <w:rPr>
          <w:sz w:val="24"/>
        </w:rPr>
      </w:pPr>
      <w:r>
        <w:rPr>
          <w:rFonts w:hint="eastAsia"/>
          <w:sz w:val="24"/>
        </w:rPr>
        <w:t>联系</w:t>
      </w:r>
      <w:r>
        <w:rPr>
          <w:rFonts w:hint="eastAsia" w:ascii="宋体" w:hAnsi="宋体" w:cs="宋体"/>
          <w:kern w:val="0"/>
          <w:sz w:val="24"/>
          <w:szCs w:val="24"/>
        </w:rPr>
        <w:t>电子邮箱：</w:t>
      </w:r>
      <w:r>
        <w:rPr>
          <w:rFonts w:ascii="宋体" w:hAnsi="宋体" w:cs="宋体"/>
          <w:kern w:val="0"/>
          <w:sz w:val="24"/>
          <w:szCs w:val="24"/>
        </w:rPr>
        <w:t>zbb@hyit.edu.cn</w:t>
      </w:r>
    </w:p>
    <w:p>
      <w:pPr>
        <w:spacing w:line="440" w:lineRule="exact"/>
        <w:ind w:firstLine="480" w:firstLineChars="20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pPr>
        <w:spacing w:line="440" w:lineRule="exact"/>
        <w:ind w:firstLine="480" w:firstLineChars="200"/>
        <w:rPr>
          <w:sz w:val="24"/>
        </w:rPr>
      </w:pPr>
    </w:p>
    <w:p>
      <w:pPr>
        <w:spacing w:line="440" w:lineRule="exact"/>
        <w:ind w:firstLine="480" w:firstLineChars="200"/>
        <w:rPr>
          <w:sz w:val="24"/>
        </w:rPr>
      </w:pPr>
    </w:p>
    <w:p>
      <w:pPr>
        <w:spacing w:line="440" w:lineRule="exact"/>
        <w:ind w:firstLine="480" w:firstLineChars="200"/>
        <w:rPr>
          <w:sz w:val="24"/>
        </w:rPr>
      </w:pPr>
    </w:p>
    <w:p>
      <w:pPr>
        <w:spacing w:line="440" w:lineRule="exact"/>
        <w:ind w:firstLine="480" w:firstLineChars="200"/>
        <w:rPr>
          <w:sz w:val="24"/>
        </w:rPr>
      </w:pPr>
    </w:p>
    <w:p>
      <w:pPr>
        <w:widowControl/>
        <w:spacing w:line="440" w:lineRule="exact"/>
        <w:ind w:firstLine="4995" w:firstLineChars="1850"/>
        <w:rPr>
          <w:spacing w:val="15"/>
          <w:kern w:val="0"/>
          <w:sz w:val="24"/>
        </w:rPr>
      </w:pPr>
      <w:r>
        <w:rPr>
          <w:rFonts w:hint="eastAsia"/>
          <w:spacing w:val="15"/>
          <w:kern w:val="0"/>
          <w:sz w:val="24"/>
        </w:rPr>
        <w:t>淮阴工学院招投标办公室</w:t>
      </w:r>
    </w:p>
    <w:p>
      <w:pPr>
        <w:widowControl/>
        <w:spacing w:line="440" w:lineRule="exact"/>
        <w:ind w:firstLine="5535" w:firstLineChars="2050"/>
        <w:rPr>
          <w:spacing w:val="15"/>
          <w:kern w:val="0"/>
          <w:sz w:val="24"/>
        </w:rPr>
      </w:pPr>
      <w:r>
        <w:rPr>
          <w:spacing w:val="15"/>
          <w:kern w:val="0"/>
          <w:sz w:val="24"/>
        </w:rPr>
        <w:t>2019</w:t>
      </w:r>
      <w:r>
        <w:rPr>
          <w:rFonts w:hint="eastAsia"/>
          <w:spacing w:val="15"/>
          <w:kern w:val="0"/>
          <w:sz w:val="24"/>
        </w:rPr>
        <w:t>年</w:t>
      </w:r>
      <w:r>
        <w:rPr>
          <w:spacing w:val="15"/>
          <w:kern w:val="0"/>
          <w:sz w:val="24"/>
        </w:rPr>
        <w:t>7</w:t>
      </w:r>
      <w:r>
        <w:rPr>
          <w:rFonts w:hint="eastAsia"/>
          <w:spacing w:val="15"/>
          <w:kern w:val="0"/>
          <w:sz w:val="24"/>
        </w:rPr>
        <w:t>月</w:t>
      </w:r>
      <w:r>
        <w:rPr>
          <w:spacing w:val="15"/>
          <w:kern w:val="0"/>
          <w:sz w:val="24"/>
        </w:rPr>
        <w:t>17</w:t>
      </w:r>
      <w:r>
        <w:rPr>
          <w:rFonts w:hint="eastAsia"/>
          <w:spacing w:val="15"/>
          <w:kern w:val="0"/>
          <w:sz w:val="24"/>
        </w:rPr>
        <w:t>日</w:t>
      </w:r>
    </w:p>
    <w:p>
      <w:pPr>
        <w:spacing w:line="440" w:lineRule="exact"/>
        <w:jc w:val="center"/>
        <w:rPr>
          <w:rFonts w:ascii="方正小标宋简体" w:eastAsia="方正小标宋简体"/>
          <w:sz w:val="36"/>
          <w:szCs w:val="36"/>
        </w:rPr>
      </w:pPr>
      <w:r>
        <w:rPr>
          <w:sz w:val="24"/>
          <w:szCs w:val="24"/>
        </w:rPr>
        <w:br w:type="page"/>
      </w:r>
      <w:r>
        <w:rPr>
          <w:rFonts w:hint="eastAsia" w:ascii="方正小标宋简体" w:eastAsia="方正小标宋简体"/>
          <w:sz w:val="36"/>
          <w:szCs w:val="36"/>
        </w:rPr>
        <w:t>第二章</w:t>
      </w:r>
      <w:r>
        <w:rPr>
          <w:rFonts w:ascii="方正小标宋简体" w:eastAsia="方正小标宋简体"/>
          <w:sz w:val="36"/>
          <w:szCs w:val="36"/>
        </w:rPr>
        <w:t xml:space="preserve"> </w:t>
      </w:r>
      <w:r>
        <w:rPr>
          <w:rFonts w:hint="eastAsia" w:ascii="方正小标宋简体" w:eastAsia="方正小标宋简体"/>
          <w:sz w:val="36"/>
          <w:szCs w:val="36"/>
        </w:rPr>
        <w:t>项目采购需求</w:t>
      </w:r>
    </w:p>
    <w:p>
      <w:pPr>
        <w:ind w:firstLine="440"/>
        <w:rPr>
          <w:sz w:val="24"/>
          <w:szCs w:val="24"/>
        </w:rPr>
      </w:pPr>
    </w:p>
    <w:p>
      <w:pPr>
        <w:rPr>
          <w:sz w:val="24"/>
          <w:szCs w:val="24"/>
        </w:rPr>
      </w:pPr>
      <w:r>
        <w:rPr>
          <w:rFonts w:hint="eastAsia"/>
          <w:sz w:val="24"/>
          <w:szCs w:val="24"/>
        </w:rPr>
        <w:t>一、采购清单</w:t>
      </w:r>
    </w:p>
    <w:tbl>
      <w:tblPr>
        <w:tblStyle w:val="12"/>
        <w:tblW w:w="790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2"/>
        <w:gridCol w:w="1185"/>
        <w:gridCol w:w="1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5622" w:type="dxa"/>
            <w:vAlign w:val="center"/>
          </w:tcPr>
          <w:p>
            <w:pPr>
              <w:spacing w:line="440" w:lineRule="exact"/>
              <w:jc w:val="center"/>
              <w:rPr>
                <w:sz w:val="24"/>
                <w:szCs w:val="24"/>
              </w:rPr>
            </w:pPr>
            <w:r>
              <w:rPr>
                <w:rFonts w:hint="eastAsia"/>
                <w:sz w:val="24"/>
                <w:szCs w:val="24"/>
              </w:rPr>
              <w:t>项目内容</w:t>
            </w:r>
          </w:p>
        </w:tc>
        <w:tc>
          <w:tcPr>
            <w:tcW w:w="1185" w:type="dxa"/>
            <w:vAlign w:val="center"/>
          </w:tcPr>
          <w:p>
            <w:pPr>
              <w:spacing w:line="440" w:lineRule="exact"/>
              <w:jc w:val="center"/>
              <w:rPr>
                <w:sz w:val="24"/>
                <w:szCs w:val="24"/>
              </w:rPr>
            </w:pPr>
            <w:r>
              <w:rPr>
                <w:rFonts w:hint="eastAsia"/>
                <w:sz w:val="24"/>
                <w:szCs w:val="24"/>
              </w:rPr>
              <w:t>单位</w:t>
            </w:r>
          </w:p>
        </w:tc>
        <w:tc>
          <w:tcPr>
            <w:tcW w:w="1095" w:type="dxa"/>
            <w:vAlign w:val="center"/>
          </w:tcPr>
          <w:p>
            <w:pPr>
              <w:spacing w:line="440" w:lineRule="exact"/>
              <w:jc w:val="center"/>
              <w:rPr>
                <w:sz w:val="24"/>
                <w:szCs w:val="24"/>
              </w:rPr>
            </w:pPr>
            <w:r>
              <w:rPr>
                <w:rFonts w:hint="eastAsia"/>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5622" w:type="dxa"/>
            <w:vAlign w:val="center"/>
          </w:tcPr>
          <w:p>
            <w:pPr>
              <w:spacing w:line="440" w:lineRule="exact"/>
              <w:jc w:val="center"/>
              <w:rPr>
                <w:sz w:val="24"/>
                <w:szCs w:val="24"/>
              </w:rPr>
            </w:pPr>
            <w:r>
              <w:rPr>
                <w:rFonts w:hint="eastAsia"/>
                <w:sz w:val="24"/>
                <w:szCs w:val="24"/>
              </w:rPr>
              <w:t>钢铁企业配电系统优化虚拟仿真实验教学项目</w:t>
            </w:r>
          </w:p>
        </w:tc>
        <w:tc>
          <w:tcPr>
            <w:tcW w:w="1185" w:type="dxa"/>
            <w:vAlign w:val="center"/>
          </w:tcPr>
          <w:p>
            <w:pPr>
              <w:spacing w:line="440" w:lineRule="exact"/>
              <w:jc w:val="center"/>
              <w:rPr>
                <w:sz w:val="24"/>
                <w:szCs w:val="24"/>
              </w:rPr>
            </w:pPr>
            <w:r>
              <w:rPr>
                <w:rFonts w:hint="eastAsia"/>
                <w:sz w:val="24"/>
                <w:szCs w:val="24"/>
              </w:rPr>
              <w:t>个</w:t>
            </w:r>
          </w:p>
        </w:tc>
        <w:tc>
          <w:tcPr>
            <w:tcW w:w="1095" w:type="dxa"/>
            <w:vAlign w:val="center"/>
          </w:tcPr>
          <w:p>
            <w:pPr>
              <w:spacing w:line="440" w:lineRule="exact"/>
              <w:jc w:val="center"/>
              <w:rPr>
                <w:sz w:val="24"/>
                <w:szCs w:val="24"/>
              </w:rPr>
            </w:pPr>
            <w:r>
              <w:rPr>
                <w:sz w:val="24"/>
                <w:szCs w:val="24"/>
              </w:rPr>
              <w:t>1</w:t>
            </w:r>
          </w:p>
        </w:tc>
      </w:tr>
    </w:tbl>
    <w:p>
      <w:pPr>
        <w:ind w:firstLine="440"/>
        <w:rPr>
          <w:sz w:val="24"/>
          <w:szCs w:val="24"/>
        </w:rPr>
      </w:pPr>
    </w:p>
    <w:p>
      <w:pPr>
        <w:spacing w:line="360" w:lineRule="auto"/>
        <w:rPr>
          <w:sz w:val="24"/>
          <w:lang w:val="zh-CN"/>
        </w:rPr>
      </w:pPr>
      <w:r>
        <w:rPr>
          <w:rFonts w:hint="eastAsia"/>
          <w:sz w:val="24"/>
          <w:lang w:val="zh-CN"/>
        </w:rPr>
        <w:t>二、</w:t>
      </w:r>
      <w:r>
        <w:rPr>
          <w:rFonts w:hint="eastAsia"/>
          <w:sz w:val="24"/>
          <w:szCs w:val="24"/>
        </w:rPr>
        <w:t>系统接入要求</w:t>
      </w:r>
    </w:p>
    <w:p>
      <w:pPr>
        <w:widowControl/>
        <w:shd w:val="clear" w:color="auto" w:fill="FFFFFF"/>
        <w:spacing w:line="440" w:lineRule="exact"/>
        <w:ind w:firstLine="440"/>
        <w:jc w:val="left"/>
        <w:rPr>
          <w:rFonts w:ascii="宋体"/>
          <w:sz w:val="24"/>
          <w:szCs w:val="24"/>
        </w:rPr>
      </w:pPr>
      <w:r>
        <w:rPr>
          <w:rFonts w:hint="eastAsia" w:ascii="宋体" w:hAnsi="宋体"/>
          <w:sz w:val="24"/>
          <w:szCs w:val="24"/>
        </w:rPr>
        <w:t>★（一）本次建设的钢铁企业配电系统优化虚拟仿真实验教学项目必须与江苏省教育厅建设的江苏省高等学校虚拟仿真实验教学共享平台实现无缝集成，实验项目资源能够直接接入江苏省共享平台，无需进行二次开发与格式转换。</w:t>
      </w:r>
    </w:p>
    <w:p>
      <w:pPr>
        <w:widowControl/>
        <w:shd w:val="clear" w:color="auto" w:fill="FFFFFF"/>
        <w:spacing w:line="440" w:lineRule="exact"/>
        <w:ind w:firstLine="440"/>
        <w:jc w:val="left"/>
        <w:rPr>
          <w:rFonts w:ascii="宋体"/>
          <w:sz w:val="24"/>
          <w:szCs w:val="24"/>
        </w:rPr>
      </w:pPr>
      <w:r>
        <w:rPr>
          <w:rFonts w:hint="eastAsia" w:cs="宋体"/>
          <w:kern w:val="0"/>
          <w:sz w:val="24"/>
          <w:szCs w:val="22"/>
        </w:rPr>
        <w:t>★</w:t>
      </w:r>
      <w:r>
        <w:rPr>
          <w:rFonts w:hint="eastAsia"/>
          <w:sz w:val="24"/>
          <w:szCs w:val="24"/>
        </w:rPr>
        <w:t>（二）</w:t>
      </w:r>
      <w:r>
        <w:rPr>
          <w:rFonts w:hint="eastAsia" w:ascii="宋体" w:hAnsi="宋体"/>
          <w:sz w:val="24"/>
          <w:szCs w:val="24"/>
        </w:rPr>
        <w:t>本次建设的钢铁企业配电系统优化虚拟仿真实验教学项目必须能够接入学校已经建设的校级虚拟仿真实验教学共享平台。</w:t>
      </w:r>
    </w:p>
    <w:p>
      <w:pPr>
        <w:widowControl/>
        <w:shd w:val="clear" w:color="auto" w:fill="FFFFFF"/>
        <w:spacing w:line="440" w:lineRule="exact"/>
        <w:ind w:firstLine="440"/>
        <w:jc w:val="left"/>
        <w:rPr>
          <w:rFonts w:ascii="宋体"/>
          <w:sz w:val="24"/>
          <w:szCs w:val="24"/>
        </w:rPr>
      </w:pPr>
    </w:p>
    <w:p>
      <w:pPr>
        <w:spacing w:line="440" w:lineRule="exact"/>
        <w:rPr>
          <w:b/>
          <w:sz w:val="24"/>
          <w:szCs w:val="24"/>
        </w:rPr>
      </w:pPr>
      <w:r>
        <w:rPr>
          <w:rFonts w:hint="eastAsia"/>
          <w:b/>
          <w:sz w:val="24"/>
          <w:szCs w:val="24"/>
        </w:rPr>
        <w:t>三、虚拟仿真实验教学项目总体技术要求</w:t>
      </w:r>
    </w:p>
    <w:p>
      <w:pPr>
        <w:spacing w:line="440" w:lineRule="exact"/>
        <w:ind w:firstLine="480" w:firstLineChars="200"/>
        <w:rPr>
          <w:sz w:val="24"/>
          <w:szCs w:val="24"/>
        </w:rPr>
      </w:pPr>
      <w:r>
        <w:rPr>
          <w:rFonts w:hint="eastAsia"/>
          <w:b/>
          <w:sz w:val="24"/>
          <w:szCs w:val="24"/>
        </w:rPr>
        <w:t>★（一）</w:t>
      </w:r>
      <w:r>
        <w:rPr>
          <w:rFonts w:hint="eastAsia"/>
          <w:sz w:val="24"/>
          <w:szCs w:val="24"/>
        </w:rPr>
        <w:t>虚拟仿真实验教学项目要求最终生成可在互联网上直接运行的格式，客户端使用时无须下载或安装任何程序、插件即可直接运行使用。</w:t>
      </w:r>
    </w:p>
    <w:p>
      <w:pPr>
        <w:spacing w:line="440" w:lineRule="exact"/>
        <w:ind w:firstLine="480" w:firstLineChars="200"/>
        <w:rPr>
          <w:b/>
          <w:sz w:val="24"/>
          <w:szCs w:val="24"/>
        </w:rPr>
      </w:pPr>
      <w:r>
        <w:rPr>
          <w:rFonts w:hint="eastAsia"/>
          <w:sz w:val="24"/>
          <w:szCs w:val="24"/>
        </w:rPr>
        <w:t>★</w:t>
      </w:r>
      <w:r>
        <w:rPr>
          <w:rFonts w:hint="eastAsia"/>
          <w:b/>
          <w:sz w:val="24"/>
          <w:szCs w:val="24"/>
        </w:rPr>
        <w:t>（二）</w:t>
      </w:r>
      <w:r>
        <w:rPr>
          <w:rFonts w:hint="eastAsia"/>
          <w:sz w:val="24"/>
          <w:szCs w:val="24"/>
        </w:rPr>
        <w:t>所开发虚拟资源必须无缝接入江苏省高等学校实验教学与实践教育中心共享平台，无须进行格式转换或二次开发。</w:t>
      </w:r>
    </w:p>
    <w:p>
      <w:pPr>
        <w:spacing w:line="440" w:lineRule="exact"/>
        <w:ind w:firstLine="480" w:firstLineChars="200"/>
        <w:rPr>
          <w:sz w:val="24"/>
          <w:szCs w:val="24"/>
        </w:rPr>
      </w:pPr>
      <w:r>
        <w:rPr>
          <w:rFonts w:hint="eastAsia"/>
          <w:sz w:val="24"/>
          <w:szCs w:val="24"/>
        </w:rPr>
        <w:t>虚拟仿真实验教学项目与江苏省共享平台对接接口所含数据标准与规范如下：</w:t>
      </w:r>
    </w:p>
    <w:p>
      <w:pPr>
        <w:spacing w:line="440" w:lineRule="exact"/>
        <w:ind w:firstLine="480" w:firstLineChars="200"/>
        <w:rPr>
          <w:sz w:val="24"/>
          <w:szCs w:val="24"/>
        </w:rPr>
      </w:pPr>
      <w:r>
        <w:rPr>
          <w:b/>
          <w:sz w:val="24"/>
          <w:szCs w:val="24"/>
        </w:rPr>
        <w:t>1.</w:t>
      </w:r>
      <w:r>
        <w:rPr>
          <w:rFonts w:hint="eastAsia"/>
          <w:b/>
          <w:sz w:val="24"/>
          <w:szCs w:val="24"/>
        </w:rPr>
        <w:t>项目基本信息</w:t>
      </w:r>
      <w:r>
        <w:rPr>
          <w:rFonts w:hint="eastAsia"/>
          <w:sz w:val="24"/>
          <w:szCs w:val="24"/>
        </w:rPr>
        <w:t>。包含虚拟仿真项目名称、所属学校名称、所属学校代码、所属中心名称、项目负责人、资源分类、建立年份、是否计费、计费标准、计费支付方式、项目简介、面向专业等信息。虚拟仿真实验教学项目需要包含的基本信息与数据规范如下：</w:t>
      </w:r>
    </w:p>
    <w:p>
      <w:pPr>
        <w:rPr>
          <w:sz w:val="24"/>
          <w:szCs w:val="24"/>
        </w:rPr>
      </w:pPr>
      <w:r>
        <w:pict>
          <v:shape id="_x0000_i1025" o:spt="75" type="#_x0000_t75" style="height:309pt;width:428.25pt;" filled="f" o:preferrelative="t" stroked="f" coordsize="21600,21600">
            <v:path/>
            <v:fill on="f" focussize="0,0"/>
            <v:stroke on="f" joinstyle="miter"/>
            <v:imagedata r:id="rId6" o:title=""/>
            <o:lock v:ext="edit" aspectratio="t"/>
            <w10:wrap type="none"/>
            <w10:anchorlock/>
          </v:shape>
        </w:pict>
      </w:r>
    </w:p>
    <w:p>
      <w:pPr>
        <w:spacing w:line="440" w:lineRule="exact"/>
        <w:ind w:firstLine="480" w:firstLineChars="200"/>
        <w:rPr>
          <w:sz w:val="24"/>
          <w:szCs w:val="24"/>
        </w:rPr>
      </w:pPr>
      <w:r>
        <w:rPr>
          <w:b/>
          <w:sz w:val="24"/>
          <w:szCs w:val="24"/>
        </w:rPr>
        <w:t>2.</w:t>
      </w:r>
      <w:r>
        <w:rPr>
          <w:rFonts w:hint="eastAsia"/>
          <w:b/>
          <w:sz w:val="24"/>
          <w:szCs w:val="24"/>
        </w:rPr>
        <w:t>项目预习信息</w:t>
      </w:r>
      <w:r>
        <w:rPr>
          <w:rFonts w:hint="eastAsia"/>
          <w:sz w:val="24"/>
          <w:szCs w:val="24"/>
        </w:rPr>
        <w:t>。包含虚拟仿真项目名称、所属学校名称、操作用户账号、预习文件名称、文件类型、文件访问地址。其中文件类型支持文本（</w:t>
      </w:r>
      <w:r>
        <w:rPr>
          <w:sz w:val="24"/>
          <w:szCs w:val="24"/>
        </w:rPr>
        <w:t>doc,pdf</w:t>
      </w:r>
      <w:r>
        <w:rPr>
          <w:rFonts w:hint="eastAsia"/>
          <w:sz w:val="24"/>
          <w:szCs w:val="24"/>
        </w:rPr>
        <w:t>）、图片（</w:t>
      </w:r>
      <w:r>
        <w:rPr>
          <w:sz w:val="24"/>
          <w:szCs w:val="24"/>
        </w:rPr>
        <w:t>bmp</w:t>
      </w:r>
      <w:r>
        <w:rPr>
          <w:rFonts w:hint="eastAsia"/>
          <w:sz w:val="24"/>
          <w:szCs w:val="24"/>
        </w:rPr>
        <w:t>，</w:t>
      </w:r>
      <w:r>
        <w:rPr>
          <w:sz w:val="24"/>
          <w:szCs w:val="24"/>
        </w:rPr>
        <w:t>jpg</w:t>
      </w:r>
      <w:r>
        <w:rPr>
          <w:rFonts w:hint="eastAsia"/>
          <w:sz w:val="24"/>
          <w:szCs w:val="24"/>
        </w:rPr>
        <w:t>）、动画（</w:t>
      </w:r>
      <w:r>
        <w:rPr>
          <w:sz w:val="24"/>
          <w:szCs w:val="24"/>
        </w:rPr>
        <w:t>flv</w:t>
      </w:r>
      <w:r>
        <w:rPr>
          <w:rFonts w:hint="eastAsia"/>
          <w:sz w:val="24"/>
          <w:szCs w:val="24"/>
        </w:rPr>
        <w:t>）、视频（</w:t>
      </w:r>
      <w:r>
        <w:rPr>
          <w:sz w:val="24"/>
          <w:szCs w:val="24"/>
        </w:rPr>
        <w:t>avi</w:t>
      </w:r>
      <w:r>
        <w:rPr>
          <w:rFonts w:hint="eastAsia"/>
          <w:sz w:val="24"/>
          <w:szCs w:val="24"/>
        </w:rPr>
        <w:t>）等多种类型和格式。</w:t>
      </w:r>
    </w:p>
    <w:p>
      <w:pPr>
        <w:spacing w:line="440" w:lineRule="exact"/>
        <w:ind w:firstLine="480" w:firstLineChars="200"/>
        <w:rPr>
          <w:sz w:val="24"/>
          <w:szCs w:val="24"/>
        </w:rPr>
      </w:pPr>
      <w:r>
        <w:rPr>
          <w:b/>
          <w:sz w:val="24"/>
          <w:szCs w:val="24"/>
        </w:rPr>
        <w:t>3.</w:t>
      </w:r>
      <w:r>
        <w:rPr>
          <w:rFonts w:hint="eastAsia"/>
          <w:b/>
          <w:sz w:val="24"/>
          <w:szCs w:val="24"/>
        </w:rPr>
        <w:t>项目自测信息</w:t>
      </w:r>
      <w:r>
        <w:rPr>
          <w:rFonts w:hint="eastAsia"/>
          <w:sz w:val="24"/>
          <w:szCs w:val="24"/>
        </w:rPr>
        <w:t>。包含虚拟仿真项目名称、所属学校名称、操作用户账号、自测成绩、自测时间、自测内容访问地址。</w:t>
      </w:r>
    </w:p>
    <w:p>
      <w:pPr>
        <w:spacing w:line="440" w:lineRule="exact"/>
        <w:ind w:firstLine="480" w:firstLineChars="200"/>
        <w:rPr>
          <w:sz w:val="24"/>
          <w:szCs w:val="24"/>
        </w:rPr>
      </w:pPr>
      <w:r>
        <w:rPr>
          <w:b/>
          <w:sz w:val="24"/>
          <w:szCs w:val="24"/>
        </w:rPr>
        <w:t>4.</w:t>
      </w:r>
      <w:r>
        <w:rPr>
          <w:rFonts w:hint="eastAsia"/>
          <w:b/>
          <w:sz w:val="24"/>
          <w:szCs w:val="24"/>
        </w:rPr>
        <w:t>项目实验操作</w:t>
      </w:r>
      <w:r>
        <w:rPr>
          <w:rFonts w:hint="eastAsia"/>
          <w:sz w:val="24"/>
          <w:szCs w:val="24"/>
        </w:rPr>
        <w:t>。包含虚拟仿真项目名称、所属学校名称、操作用户账号、实验操作地址路径。</w:t>
      </w:r>
    </w:p>
    <w:p>
      <w:pPr>
        <w:spacing w:line="440" w:lineRule="exact"/>
        <w:ind w:firstLine="480" w:firstLineChars="200"/>
        <w:rPr>
          <w:sz w:val="24"/>
          <w:szCs w:val="24"/>
        </w:rPr>
      </w:pPr>
      <w:r>
        <w:rPr>
          <w:b/>
          <w:sz w:val="24"/>
          <w:szCs w:val="24"/>
        </w:rPr>
        <w:t>5.</w:t>
      </w:r>
      <w:r>
        <w:rPr>
          <w:rFonts w:hint="eastAsia"/>
          <w:b/>
          <w:sz w:val="24"/>
          <w:szCs w:val="24"/>
        </w:rPr>
        <w:t>项目资源计费</w:t>
      </w:r>
      <w:r>
        <w:rPr>
          <w:rFonts w:hint="eastAsia"/>
          <w:sz w:val="24"/>
          <w:szCs w:val="24"/>
        </w:rPr>
        <w:t>。包含虚拟仿真项目名称、所属学校名称、计费类型、计费系数。</w:t>
      </w:r>
    </w:p>
    <w:p>
      <w:pPr>
        <w:spacing w:line="440" w:lineRule="exact"/>
        <w:ind w:firstLine="480" w:firstLineChars="200"/>
        <w:rPr>
          <w:sz w:val="24"/>
          <w:szCs w:val="24"/>
        </w:rPr>
      </w:pPr>
      <w:r>
        <w:rPr>
          <w:b/>
          <w:sz w:val="24"/>
          <w:szCs w:val="24"/>
        </w:rPr>
        <w:t>6.</w:t>
      </w:r>
      <w:r>
        <w:rPr>
          <w:rFonts w:hint="eastAsia"/>
          <w:b/>
          <w:sz w:val="24"/>
          <w:szCs w:val="24"/>
        </w:rPr>
        <w:t>项目实验记录</w:t>
      </w:r>
      <w:r>
        <w:rPr>
          <w:rFonts w:hint="eastAsia"/>
          <w:sz w:val="24"/>
          <w:szCs w:val="24"/>
        </w:rPr>
        <w:t>。包含虚拟仿真项目名称、所属学校名称、操作用户账号、实验记录内容、记录添加时间。</w:t>
      </w:r>
    </w:p>
    <w:p>
      <w:pPr>
        <w:spacing w:line="440" w:lineRule="exact"/>
        <w:ind w:firstLine="480" w:firstLineChars="200"/>
        <w:rPr>
          <w:sz w:val="24"/>
          <w:szCs w:val="24"/>
        </w:rPr>
      </w:pPr>
      <w:r>
        <w:rPr>
          <w:b/>
          <w:sz w:val="24"/>
          <w:szCs w:val="24"/>
        </w:rPr>
        <w:t>7.</w:t>
      </w:r>
      <w:r>
        <w:rPr>
          <w:rFonts w:hint="eastAsia"/>
          <w:b/>
          <w:sz w:val="24"/>
          <w:szCs w:val="24"/>
        </w:rPr>
        <w:t>项目实验报告</w:t>
      </w:r>
      <w:r>
        <w:rPr>
          <w:rFonts w:hint="eastAsia"/>
          <w:sz w:val="24"/>
          <w:szCs w:val="24"/>
        </w:rPr>
        <w:t>。包含虚拟仿真项目名称、所属学校名称、操作用户账号、报告名称、报告内容、报告添加时间、报告审核状态。</w:t>
      </w:r>
    </w:p>
    <w:p>
      <w:pPr>
        <w:spacing w:line="440" w:lineRule="exact"/>
        <w:ind w:firstLine="480" w:firstLineChars="200"/>
        <w:rPr>
          <w:sz w:val="24"/>
          <w:szCs w:val="24"/>
        </w:rPr>
      </w:pPr>
      <w:r>
        <w:rPr>
          <w:b/>
          <w:sz w:val="24"/>
          <w:szCs w:val="24"/>
        </w:rPr>
        <w:t>8.</w:t>
      </w:r>
      <w:r>
        <w:rPr>
          <w:rFonts w:hint="eastAsia"/>
          <w:b/>
          <w:sz w:val="24"/>
          <w:szCs w:val="24"/>
        </w:rPr>
        <w:t>项目资源评价</w:t>
      </w:r>
      <w:r>
        <w:rPr>
          <w:rFonts w:hint="eastAsia"/>
          <w:sz w:val="24"/>
          <w:szCs w:val="24"/>
        </w:rPr>
        <w:t>。包含虚拟仿真项目名称、所属学校名称、操作用户账号、评价内容、评价发表状态。</w:t>
      </w:r>
    </w:p>
    <w:p>
      <w:pPr>
        <w:spacing w:line="440" w:lineRule="exact"/>
        <w:ind w:firstLine="480" w:firstLineChars="200"/>
        <w:rPr>
          <w:sz w:val="24"/>
          <w:szCs w:val="24"/>
        </w:rPr>
      </w:pPr>
    </w:p>
    <w:p>
      <w:pPr>
        <w:spacing w:line="440" w:lineRule="exact"/>
        <w:rPr>
          <w:b/>
          <w:sz w:val="24"/>
          <w:szCs w:val="24"/>
        </w:rPr>
      </w:pPr>
      <w:r>
        <w:rPr>
          <w:rFonts w:hint="eastAsia"/>
          <w:b/>
          <w:sz w:val="24"/>
          <w:szCs w:val="24"/>
        </w:rPr>
        <w:t>★四、钢铁企业配电系统优化实验项目具体要求</w:t>
      </w:r>
    </w:p>
    <w:p>
      <w:pPr>
        <w:spacing w:line="300" w:lineRule="auto"/>
        <w:ind w:firstLine="480" w:firstLineChars="200"/>
        <w:rPr>
          <w:sz w:val="24"/>
          <w:szCs w:val="24"/>
        </w:rPr>
      </w:pPr>
      <w:r>
        <w:rPr>
          <w:rFonts w:hint="eastAsia"/>
          <w:sz w:val="24"/>
          <w:szCs w:val="24"/>
        </w:rPr>
        <w:t>该实验项目具体流程如图</w:t>
      </w:r>
      <w:r>
        <w:rPr>
          <w:sz w:val="24"/>
          <w:szCs w:val="24"/>
        </w:rPr>
        <w:t>1</w:t>
      </w:r>
      <w:r>
        <w:rPr>
          <w:rFonts w:hint="eastAsia"/>
          <w:sz w:val="24"/>
          <w:szCs w:val="24"/>
        </w:rPr>
        <w:t>所示。</w:t>
      </w:r>
    </w:p>
    <w:p>
      <w:pPr>
        <w:spacing w:line="440" w:lineRule="exact"/>
        <w:rPr>
          <w:b/>
          <w:sz w:val="24"/>
          <w:szCs w:val="24"/>
        </w:rPr>
      </w:pPr>
      <w:r>
        <w:rPr>
          <w:rFonts w:hint="eastAsia"/>
          <w:b/>
          <w:sz w:val="24"/>
          <w:szCs w:val="24"/>
        </w:rPr>
        <w:t>步骤（一）：电网侧运行设计设定</w:t>
      </w:r>
    </w:p>
    <w:p>
      <w:pPr>
        <w:spacing w:line="440" w:lineRule="exact"/>
        <w:ind w:firstLine="480" w:firstLineChars="200"/>
        <w:rPr>
          <w:bCs/>
          <w:sz w:val="24"/>
          <w:szCs w:val="24"/>
        </w:rPr>
      </w:pPr>
      <w:r>
        <w:rPr>
          <w:rFonts w:hint="eastAsia"/>
          <w:bCs/>
          <w:sz w:val="24"/>
          <w:szCs w:val="24"/>
        </w:rPr>
        <w:t>实验初始，虚拟系统详细介绍主要组成</w:t>
      </w:r>
      <w:r>
        <w:rPr>
          <w:bCs/>
          <w:sz w:val="24"/>
          <w:szCs w:val="24"/>
        </w:rPr>
        <w:t xml:space="preserve"> </w:t>
      </w:r>
      <w:r>
        <w:rPr>
          <w:rFonts w:hint="eastAsia"/>
          <w:bCs/>
          <w:sz w:val="24"/>
          <w:szCs w:val="24"/>
        </w:rPr>
        <w:t>。第一个主要组成部分为供能端交流电网。由降压变压器连接电网端与公共连接点。虚拟系统截面需要调节关键参数的供能，包括</w:t>
      </w:r>
      <w:r>
        <w:rPr>
          <w:bCs/>
          <w:i/>
          <w:iCs/>
          <w:sz w:val="24"/>
          <w:szCs w:val="24"/>
        </w:rPr>
        <w:t>PCC</w:t>
      </w:r>
      <w:r>
        <w:rPr>
          <w:bCs/>
          <w:sz w:val="24"/>
          <w:szCs w:val="24"/>
        </w:rPr>
        <w:t>(Point of Common Coupling)</w:t>
      </w:r>
      <w:r>
        <w:rPr>
          <w:rFonts w:hint="eastAsia"/>
          <w:bCs/>
          <w:sz w:val="24"/>
          <w:szCs w:val="24"/>
        </w:rPr>
        <w:t>点处的电压、电流、频率）的调节。</w:t>
      </w:r>
    </w:p>
    <w:p>
      <w:pPr>
        <w:spacing w:line="440" w:lineRule="exact"/>
        <w:rPr>
          <w:b/>
          <w:sz w:val="24"/>
          <w:szCs w:val="24"/>
        </w:rPr>
      </w:pPr>
      <w:r>
        <w:rPr>
          <w:rFonts w:hint="eastAsia"/>
          <w:b/>
          <w:sz w:val="24"/>
          <w:szCs w:val="24"/>
        </w:rPr>
        <w:t>步骤（二）：负荷侧运行数据的设定（包括电弧炉的容量、炉变的变比、短路电压等运行参数）</w:t>
      </w:r>
    </w:p>
    <w:p>
      <w:pPr>
        <w:spacing w:line="440" w:lineRule="exact"/>
        <w:ind w:firstLine="480" w:firstLineChars="200"/>
        <w:rPr>
          <w:bCs/>
          <w:sz w:val="24"/>
          <w:szCs w:val="24"/>
        </w:rPr>
      </w:pPr>
      <w:r>
        <w:rPr>
          <w:rFonts w:hint="eastAsia"/>
          <w:bCs/>
          <w:sz w:val="24"/>
          <w:szCs w:val="24"/>
        </w:rPr>
        <w:t>实验场景为交流电弧炉，供电系统为三相</w:t>
      </w:r>
      <w:r>
        <w:rPr>
          <w:bCs/>
          <w:sz w:val="24"/>
          <w:szCs w:val="24"/>
        </w:rPr>
        <w:t>35kV</w:t>
      </w:r>
      <w:r>
        <w:rPr>
          <w:rFonts w:hint="eastAsia"/>
          <w:bCs/>
          <w:sz w:val="24"/>
          <w:szCs w:val="24"/>
        </w:rPr>
        <w:t>，通过电弧炉变压器的二次侧给交流电弧炉供电，变压器二次侧电压为多档调节（具体参见实际现场参数），检测不同负载情况下，交流侧的电流电压波形，并在虚拟示波器中显示，让实验者建立电弧炉运行对配电网谐波和无功污染的概念。进一步分析网侧电流中各次谐波大小并列出参数采集表格，和国标对照，为后续的电流和无功补偿奠定基础。</w:t>
      </w:r>
    </w:p>
    <w:p>
      <w:pPr>
        <w:spacing w:line="440" w:lineRule="exact"/>
        <w:rPr>
          <w:b/>
          <w:sz w:val="24"/>
          <w:szCs w:val="24"/>
        </w:rPr>
      </w:pPr>
      <w:r>
        <w:rPr>
          <w:rFonts w:hint="eastAsia"/>
          <w:b/>
          <w:sz w:val="24"/>
          <w:szCs w:val="24"/>
        </w:rPr>
        <w:t>步骤（三）：负荷数据的调整（有功、无功、功率因数、各次谐波的含量、</w:t>
      </w:r>
      <w:r>
        <w:rPr>
          <w:b/>
          <w:sz w:val="24"/>
          <w:szCs w:val="24"/>
        </w:rPr>
        <w:t>THD</w:t>
      </w:r>
      <w:r>
        <w:rPr>
          <w:rFonts w:hint="eastAsia"/>
          <w:b/>
          <w:sz w:val="24"/>
          <w:szCs w:val="24"/>
        </w:rPr>
        <w:t>值）</w:t>
      </w:r>
    </w:p>
    <w:p>
      <w:pPr>
        <w:pStyle w:val="28"/>
        <w:numPr>
          <w:ilvl w:val="0"/>
          <w:numId w:val="2"/>
        </w:numPr>
        <w:spacing w:line="440" w:lineRule="exact"/>
        <w:ind w:firstLineChars="0"/>
        <w:rPr>
          <w:bCs/>
          <w:sz w:val="24"/>
          <w:szCs w:val="24"/>
        </w:rPr>
      </w:pPr>
      <w:r>
        <w:rPr>
          <w:rFonts w:hint="eastAsia"/>
          <w:bCs/>
          <w:sz w:val="24"/>
          <w:szCs w:val="24"/>
        </w:rPr>
        <w:t>负荷运行数据的显示，有功功率、无功功率、功率因数；</w:t>
      </w:r>
    </w:p>
    <w:p>
      <w:pPr>
        <w:numPr>
          <w:ilvl w:val="0"/>
          <w:numId w:val="2"/>
        </w:numPr>
        <w:spacing w:line="440" w:lineRule="exact"/>
        <w:rPr>
          <w:bCs/>
          <w:sz w:val="24"/>
          <w:szCs w:val="24"/>
        </w:rPr>
      </w:pPr>
      <w:r>
        <w:rPr>
          <w:rFonts w:hint="eastAsia"/>
          <w:bCs/>
          <w:sz w:val="24"/>
          <w:szCs w:val="24"/>
        </w:rPr>
        <w:t>负荷运行时的谐波分析与显示，包括电压与电流的谐波分析，各次谐波含量、</w:t>
      </w:r>
      <w:r>
        <w:rPr>
          <w:bCs/>
          <w:sz w:val="24"/>
          <w:szCs w:val="24"/>
        </w:rPr>
        <w:t>THD</w:t>
      </w:r>
      <w:r>
        <w:rPr>
          <w:rFonts w:hint="eastAsia"/>
          <w:bCs/>
          <w:sz w:val="24"/>
          <w:szCs w:val="24"/>
        </w:rPr>
        <w:t>值；</w:t>
      </w:r>
    </w:p>
    <w:p>
      <w:pPr>
        <w:numPr>
          <w:ilvl w:val="0"/>
          <w:numId w:val="2"/>
        </w:numPr>
        <w:spacing w:line="440" w:lineRule="exact"/>
        <w:rPr>
          <w:bCs/>
          <w:sz w:val="24"/>
          <w:szCs w:val="24"/>
        </w:rPr>
      </w:pPr>
      <w:r>
        <w:rPr>
          <w:rFonts w:hint="eastAsia"/>
          <w:bCs/>
          <w:sz w:val="24"/>
          <w:szCs w:val="24"/>
        </w:rPr>
        <w:t>负荷运行时导致的三相不平衡分析，包括三相不平衡度；</w:t>
      </w:r>
    </w:p>
    <w:p>
      <w:pPr>
        <w:numPr>
          <w:ilvl w:val="0"/>
          <w:numId w:val="2"/>
        </w:numPr>
        <w:spacing w:line="440" w:lineRule="exact"/>
        <w:rPr>
          <w:bCs/>
          <w:sz w:val="24"/>
          <w:szCs w:val="24"/>
        </w:rPr>
      </w:pPr>
      <w:r>
        <w:rPr>
          <w:rFonts w:hint="eastAsia"/>
          <w:bCs/>
          <w:sz w:val="24"/>
          <w:szCs w:val="24"/>
        </w:rPr>
        <w:t>负荷运行时，无功功率的波动导致系统电压的波动，包括电压波动值；</w:t>
      </w:r>
    </w:p>
    <w:p>
      <w:pPr>
        <w:spacing w:line="440" w:lineRule="exact"/>
        <w:rPr>
          <w:b/>
          <w:sz w:val="24"/>
          <w:szCs w:val="24"/>
        </w:rPr>
      </w:pPr>
      <w:r>
        <w:rPr>
          <w:rFonts w:hint="eastAsia"/>
          <w:b/>
          <w:sz w:val="24"/>
          <w:szCs w:val="24"/>
        </w:rPr>
        <w:t>步骤（四）：</w:t>
      </w:r>
      <w:r>
        <w:rPr>
          <w:b/>
          <w:sz w:val="24"/>
          <w:szCs w:val="24"/>
        </w:rPr>
        <w:t>SVC</w:t>
      </w:r>
      <w:r>
        <w:rPr>
          <w:rFonts w:hint="eastAsia"/>
          <w:b/>
          <w:sz w:val="24"/>
          <w:szCs w:val="24"/>
        </w:rPr>
        <w:t>的参数配置（实验以静止无功补偿器</w:t>
      </w:r>
      <w:r>
        <w:rPr>
          <w:b/>
          <w:sz w:val="24"/>
          <w:szCs w:val="24"/>
        </w:rPr>
        <w:t>SVC</w:t>
      </w:r>
      <w:r>
        <w:rPr>
          <w:rFonts w:hint="eastAsia"/>
          <w:b/>
          <w:sz w:val="24"/>
          <w:szCs w:val="24"/>
        </w:rPr>
        <w:t>作为电能优化装置）</w:t>
      </w:r>
    </w:p>
    <w:p>
      <w:pPr>
        <w:spacing w:line="440" w:lineRule="exact"/>
        <w:ind w:firstLine="480" w:firstLineChars="200"/>
        <w:rPr>
          <w:b/>
          <w:sz w:val="24"/>
          <w:szCs w:val="24"/>
        </w:rPr>
      </w:pPr>
      <w:r>
        <w:rPr>
          <w:rFonts w:hint="eastAsia"/>
          <w:bCs/>
          <w:sz w:val="24"/>
          <w:szCs w:val="24"/>
        </w:rPr>
        <w:t>静止无功补偿器是由晶闸管所控制投切电抗器和电容器组成，由于晶闸管对于</w:t>
      </w:r>
      <w:r>
        <w:fldChar w:fldCharType="begin"/>
      </w:r>
      <w:r>
        <w:instrText xml:space="preserve"> HYPERLINK "https://baike.baidu.com/item/%E6%8E%A7%E5%88%B6%E4%BF%A1%E5%8F%B7" \t "_blank" </w:instrText>
      </w:r>
      <w:r>
        <w:fldChar w:fldCharType="separate"/>
      </w:r>
      <w:r>
        <w:rPr>
          <w:rFonts w:hint="eastAsia"/>
          <w:bCs/>
          <w:sz w:val="24"/>
          <w:szCs w:val="24"/>
        </w:rPr>
        <w:t>控制信号</w:t>
      </w:r>
      <w:r>
        <w:rPr>
          <w:rFonts w:hint="eastAsia"/>
          <w:bCs/>
          <w:sz w:val="24"/>
          <w:szCs w:val="24"/>
        </w:rPr>
        <w:fldChar w:fldCharType="end"/>
      </w:r>
      <w:r>
        <w:rPr>
          <w:rFonts w:hint="eastAsia"/>
          <w:bCs/>
          <w:sz w:val="24"/>
          <w:szCs w:val="24"/>
        </w:rPr>
        <w:t>反应极为迅速，而且通断次数也可以不受限制。当无功变化时</w:t>
      </w:r>
      <w:r>
        <w:fldChar w:fldCharType="begin"/>
      </w:r>
      <w:r>
        <w:instrText xml:space="preserve"> HYPERLINK "https://baike.baidu.com/item/%E9%9D%99%E6%AD%A2%E8%A1%A5%E5%81%BF%E5%99%A8" \t "_blank" </w:instrText>
      </w:r>
      <w:r>
        <w:fldChar w:fldCharType="separate"/>
      </w:r>
      <w:r>
        <w:rPr>
          <w:rFonts w:hint="eastAsia"/>
          <w:bCs/>
          <w:sz w:val="24"/>
          <w:szCs w:val="24"/>
        </w:rPr>
        <w:t>静止补偿器</w:t>
      </w:r>
      <w:r>
        <w:rPr>
          <w:rFonts w:hint="eastAsia"/>
          <w:bCs/>
          <w:sz w:val="24"/>
          <w:szCs w:val="24"/>
        </w:rPr>
        <w:fldChar w:fldCharType="end"/>
      </w:r>
      <w:r>
        <w:rPr>
          <w:rFonts w:hint="eastAsia"/>
          <w:bCs/>
          <w:sz w:val="24"/>
          <w:szCs w:val="24"/>
        </w:rPr>
        <w:t>能快速、平滑地调节，以满足动态无功补偿的需要，同时还能做到分相补偿；对于三相不平衡负荷及冲击负荷有较强的适应性；但由于晶闸管控制对电抗器的投切过程中会产生高次谐波，为此需加装专门的滤波器。电容器提供固定的容性无功</w:t>
      </w:r>
      <w:r>
        <w:rPr>
          <w:bCs/>
          <w:sz w:val="24"/>
          <w:szCs w:val="24"/>
        </w:rPr>
        <w:t>Qc</w:t>
      </w:r>
      <w:r>
        <w:rPr>
          <w:rFonts w:hint="eastAsia"/>
          <w:bCs/>
          <w:sz w:val="24"/>
          <w:szCs w:val="24"/>
        </w:rPr>
        <w:t>，补偿电抗器通过的电流决定了补偿电抗器输出的感性无功</w:t>
      </w:r>
      <w:r>
        <w:rPr>
          <w:bCs/>
          <w:sz w:val="24"/>
          <w:szCs w:val="24"/>
        </w:rPr>
        <w:t>QTCR</w:t>
      </w:r>
      <w:r>
        <w:rPr>
          <w:rFonts w:hint="eastAsia"/>
          <w:bCs/>
          <w:sz w:val="24"/>
          <w:szCs w:val="24"/>
        </w:rPr>
        <w:t>的大小，感性无功和容性无功相互抵消。晶闸管变流装置和控制系统能够实现补偿功能。采集母线的无功电流值和电压值，合成无功值，和所设定的恒无功值进行比较，计算得到的触发角大小。通过晶闸管触发装置，使晶闸管流过所需要的电流。在实验过程中，需注意关键参数的侦测和调试，包括</w:t>
      </w:r>
      <w:r>
        <w:rPr>
          <w:bCs/>
          <w:sz w:val="24"/>
          <w:szCs w:val="24"/>
        </w:rPr>
        <w:t>2</w:t>
      </w:r>
      <w:r>
        <w:rPr>
          <w:rFonts w:hint="eastAsia"/>
          <w:bCs/>
          <w:sz w:val="24"/>
          <w:szCs w:val="24"/>
        </w:rPr>
        <w:t>次、</w:t>
      </w:r>
      <w:r>
        <w:rPr>
          <w:bCs/>
          <w:sz w:val="24"/>
          <w:szCs w:val="24"/>
        </w:rPr>
        <w:t>3</w:t>
      </w:r>
      <w:r>
        <w:rPr>
          <w:rFonts w:hint="eastAsia"/>
          <w:bCs/>
          <w:sz w:val="24"/>
          <w:szCs w:val="24"/>
        </w:rPr>
        <w:t>次、</w:t>
      </w:r>
      <w:r>
        <w:rPr>
          <w:bCs/>
          <w:sz w:val="24"/>
          <w:szCs w:val="24"/>
        </w:rPr>
        <w:t>5</w:t>
      </w:r>
      <w:r>
        <w:rPr>
          <w:rFonts w:hint="eastAsia"/>
          <w:bCs/>
          <w:sz w:val="24"/>
          <w:szCs w:val="24"/>
        </w:rPr>
        <w:t>次</w:t>
      </w:r>
      <w:r>
        <w:rPr>
          <w:bCs/>
          <w:sz w:val="24"/>
          <w:szCs w:val="24"/>
        </w:rPr>
        <w:t>FC</w:t>
      </w:r>
      <w:r>
        <w:rPr>
          <w:rFonts w:hint="eastAsia"/>
          <w:bCs/>
          <w:sz w:val="24"/>
          <w:szCs w:val="24"/>
        </w:rPr>
        <w:t>的设计、</w:t>
      </w:r>
      <w:r>
        <w:rPr>
          <w:bCs/>
          <w:sz w:val="24"/>
          <w:szCs w:val="24"/>
        </w:rPr>
        <w:t>TCR</w:t>
      </w:r>
      <w:r>
        <w:rPr>
          <w:rFonts w:hint="eastAsia"/>
          <w:bCs/>
          <w:sz w:val="24"/>
          <w:szCs w:val="24"/>
        </w:rPr>
        <w:t>的额定电压、电流等参数。</w:t>
      </w:r>
    </w:p>
    <w:p>
      <w:pPr>
        <w:keepNext/>
        <w:spacing w:line="300" w:lineRule="auto"/>
      </w:pPr>
      <w:r>
        <w:object>
          <v:shape id="_x0000_i1026" o:spt="75" type="#_x0000_t75" style="height:542.25pt;width:415.5pt;" o:ole="t" filled="f" o:preferrelative="t" stroked="f" coordsize="21600,21600">
            <v:path/>
            <v:fill on="f" focussize="0,0"/>
            <v:stroke on="f" joinstyle="miter"/>
            <v:imagedata r:id="rId8" o:title=""/>
            <o:lock v:ext="edit" aspectratio="f"/>
            <w10:wrap type="none"/>
            <w10:anchorlock/>
          </v:shape>
          <o:OLEObject Type="Embed" ProgID="Visio.Drawing.11" ShapeID="_x0000_i1026" DrawAspect="Content" ObjectID="_1468075725" r:id="rId7">
            <o:LockedField>false</o:LockedField>
          </o:OLEObject>
        </w:object>
      </w:r>
    </w:p>
    <w:p>
      <w:pPr>
        <w:pStyle w:val="3"/>
        <w:jc w:val="center"/>
        <w:rPr>
          <w:sz w:val="24"/>
          <w:szCs w:val="24"/>
        </w:rPr>
      </w:pPr>
      <w:r>
        <w:rPr>
          <w:rFonts w:hint="eastAsia"/>
        </w:rPr>
        <w:t>图</w:t>
      </w:r>
      <w:r>
        <w:t xml:space="preserve"> </w:t>
      </w:r>
      <w:r>
        <w:rPr>
          <w:rFonts w:ascii="Times New Roman" w:hAnsi="Times New Roman"/>
        </w:rPr>
        <w:fldChar w:fldCharType="begin"/>
      </w:r>
      <w:r>
        <w:rPr>
          <w:rFonts w:ascii="Times New Roman" w:hAnsi="Times New Roman"/>
        </w:rPr>
        <w:instrText xml:space="preserve"> SEQ </w:instrText>
      </w:r>
      <w:r>
        <w:rPr>
          <w:rFonts w:hint="eastAsia" w:ascii="Times New Roman" w:hAnsi="Times New Roman"/>
        </w:rPr>
        <w:instrText xml:space="preserve">图</w:instrText>
      </w:r>
      <w:r>
        <w:rPr>
          <w:rFonts w:ascii="Times New Roman" w:hAnsi="Times New Roman"/>
        </w:rPr>
        <w:instrText xml:space="preserve"> \* ARABIC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t xml:space="preserve"> </w:t>
      </w:r>
      <w:r>
        <w:rPr>
          <w:rFonts w:hint="eastAsia"/>
        </w:rPr>
        <w:t>实验项目具体流程</w:t>
      </w:r>
    </w:p>
    <w:p>
      <w:pPr>
        <w:spacing w:line="300" w:lineRule="auto"/>
        <w:ind w:firstLine="480" w:firstLineChars="200"/>
        <w:rPr>
          <w:sz w:val="24"/>
          <w:szCs w:val="24"/>
        </w:rPr>
      </w:pPr>
    </w:p>
    <w:p>
      <w:pPr>
        <w:spacing w:line="440" w:lineRule="exact"/>
        <w:rPr>
          <w:bCs/>
          <w:sz w:val="24"/>
          <w:szCs w:val="24"/>
        </w:rPr>
      </w:pPr>
    </w:p>
    <w:p>
      <w:pPr>
        <w:spacing w:line="440" w:lineRule="exact"/>
        <w:rPr>
          <w:b/>
          <w:sz w:val="24"/>
          <w:szCs w:val="24"/>
        </w:rPr>
      </w:pPr>
    </w:p>
    <w:p>
      <w:pPr>
        <w:spacing w:line="440" w:lineRule="exact"/>
        <w:rPr>
          <w:b/>
          <w:sz w:val="24"/>
          <w:szCs w:val="24"/>
        </w:rPr>
      </w:pPr>
      <w:r>
        <w:rPr>
          <w:rFonts w:hint="eastAsia"/>
          <w:b/>
          <w:sz w:val="24"/>
          <w:szCs w:val="24"/>
        </w:rPr>
        <w:t>步骤（五）：系统运行保护参数（三相不平衡、电压波动、闪变、功率因数、谐波畸变率）</w:t>
      </w:r>
    </w:p>
    <w:p>
      <w:pPr>
        <w:spacing w:line="440" w:lineRule="exact"/>
        <w:ind w:firstLine="480" w:firstLineChars="200"/>
        <w:rPr>
          <w:sz w:val="24"/>
          <w:szCs w:val="24"/>
        </w:rPr>
      </w:pPr>
      <w:r>
        <w:rPr>
          <w:rFonts w:hint="eastAsia"/>
          <w:bCs/>
          <w:sz w:val="24"/>
          <w:szCs w:val="24"/>
        </w:rPr>
        <w:t>研究电力</w:t>
      </w:r>
      <w:r>
        <w:fldChar w:fldCharType="begin"/>
      </w:r>
      <w:r>
        <w:instrText xml:space="preserve"> HYPERLINK "https://baike.baidu.com/item/%E7%B3%BB%E7%BB%9F%E6%95%85%E9%9A%9C" \t "_blank" </w:instrText>
      </w:r>
      <w:r>
        <w:fldChar w:fldCharType="separate"/>
      </w:r>
      <w:r>
        <w:rPr>
          <w:rFonts w:hint="eastAsia"/>
          <w:bCs/>
          <w:sz w:val="24"/>
          <w:szCs w:val="24"/>
        </w:rPr>
        <w:t>系统故障</w:t>
      </w:r>
      <w:r>
        <w:rPr>
          <w:rFonts w:hint="eastAsia"/>
          <w:bCs/>
          <w:sz w:val="24"/>
          <w:szCs w:val="24"/>
        </w:rPr>
        <w:fldChar w:fldCharType="end"/>
      </w:r>
      <w:r>
        <w:rPr>
          <w:rFonts w:hint="eastAsia"/>
          <w:bCs/>
          <w:sz w:val="24"/>
          <w:szCs w:val="24"/>
        </w:rPr>
        <w:t>和危及安全运行的异常工况，以探讨其对策的反事故自动化措施。因在其发展过程中曾主要用有触点的</w:t>
      </w:r>
      <w:r>
        <w:fldChar w:fldCharType="begin"/>
      </w:r>
      <w:r>
        <w:instrText xml:space="preserve"> HYPERLINK "https://baike.baidu.com/item/%E7%BB%A7%E7%94%B5%E5%99%A8" \t "_blank" </w:instrText>
      </w:r>
      <w:r>
        <w:fldChar w:fldCharType="separate"/>
      </w:r>
      <w:r>
        <w:rPr>
          <w:rFonts w:hint="eastAsia"/>
          <w:bCs/>
          <w:sz w:val="24"/>
          <w:szCs w:val="24"/>
        </w:rPr>
        <w:t>继电器</w:t>
      </w:r>
      <w:r>
        <w:rPr>
          <w:rFonts w:hint="eastAsia"/>
          <w:bCs/>
          <w:sz w:val="24"/>
          <w:szCs w:val="24"/>
        </w:rPr>
        <w:fldChar w:fldCharType="end"/>
      </w:r>
      <w:r>
        <w:rPr>
          <w:rFonts w:hint="eastAsia"/>
          <w:bCs/>
          <w:sz w:val="24"/>
          <w:szCs w:val="24"/>
        </w:rPr>
        <w:t>来保护电力系统及其元件（发电机、变压器、</w:t>
      </w:r>
      <w:r>
        <w:fldChar w:fldCharType="begin"/>
      </w:r>
      <w:r>
        <w:instrText xml:space="preserve"> HYPERLINK "https://baike.baidu.com/item/%E8%BE%93%E7%94%B5%E7%BA%BF%E8%B7%AF" \t "_blank" </w:instrText>
      </w:r>
      <w:r>
        <w:fldChar w:fldCharType="separate"/>
      </w:r>
      <w:r>
        <w:rPr>
          <w:rFonts w:hint="eastAsia"/>
          <w:bCs/>
          <w:sz w:val="24"/>
          <w:szCs w:val="24"/>
        </w:rPr>
        <w:t>输电线路</w:t>
      </w:r>
      <w:r>
        <w:rPr>
          <w:rFonts w:hint="eastAsia"/>
          <w:bCs/>
          <w:sz w:val="24"/>
          <w:szCs w:val="24"/>
        </w:rPr>
        <w:fldChar w:fldCharType="end"/>
      </w:r>
      <w:r>
        <w:rPr>
          <w:rFonts w:hint="eastAsia"/>
          <w:bCs/>
          <w:sz w:val="24"/>
          <w:szCs w:val="24"/>
        </w:rPr>
        <w:t>等），使之免遭损害，所以也称继电保护。基本任务是：当电力系统发生故障或异常工况时，在可能实现的最短时间和最小区域内，自动将故障设备从系统中切除，或发出信号由值班人员消除异常工况根源，以减轻或避免设备的损坏和对相邻地区供电的影响。学生需要调节电网侧和负载侧以及补偿侧的参数，让系统运行的标杆参数工作在理性波动范围。需要调试到合理范围的参数有电压、电流、三相不平衡，电压波动、闪变、功率因数、谐波畸变率等。</w:t>
      </w:r>
    </w:p>
    <w:p>
      <w:pPr>
        <w:spacing w:line="440" w:lineRule="exact"/>
        <w:rPr>
          <w:sz w:val="24"/>
          <w:szCs w:val="24"/>
        </w:rPr>
      </w:pPr>
      <w:r>
        <w:rPr>
          <w:rFonts w:hint="eastAsia"/>
          <w:b/>
          <w:sz w:val="24"/>
          <w:szCs w:val="24"/>
        </w:rPr>
        <w:t>步骤（六）：</w:t>
      </w:r>
      <w:r>
        <w:rPr>
          <w:b/>
          <w:sz w:val="24"/>
          <w:szCs w:val="24"/>
        </w:rPr>
        <w:t>FC</w:t>
      </w:r>
      <w:r>
        <w:rPr>
          <w:rFonts w:hint="eastAsia"/>
          <w:b/>
          <w:sz w:val="24"/>
          <w:szCs w:val="24"/>
        </w:rPr>
        <w:t>电压与电流的校核</w:t>
      </w:r>
    </w:p>
    <w:p>
      <w:pPr>
        <w:spacing w:line="440" w:lineRule="exact"/>
        <w:ind w:firstLine="480" w:firstLineChars="200"/>
        <w:rPr>
          <w:sz w:val="24"/>
          <w:szCs w:val="24"/>
        </w:rPr>
      </w:pPr>
      <w:r>
        <w:rPr>
          <w:sz w:val="24"/>
          <w:szCs w:val="24"/>
        </w:rPr>
        <w:t>1. FC</w:t>
      </w:r>
      <w:r>
        <w:rPr>
          <w:rFonts w:hint="eastAsia"/>
          <w:sz w:val="24"/>
          <w:szCs w:val="24"/>
        </w:rPr>
        <w:t>参数校核因数：电弧炉在运营过程中的电压电流波动性不仅对</w:t>
      </w:r>
      <w:r>
        <w:rPr>
          <w:sz w:val="24"/>
          <w:szCs w:val="24"/>
        </w:rPr>
        <w:t>PCC</w:t>
      </w:r>
      <w:r>
        <w:rPr>
          <w:rFonts w:hint="eastAsia"/>
          <w:sz w:val="24"/>
          <w:szCs w:val="24"/>
        </w:rPr>
        <w:t>点产生</w:t>
      </w:r>
      <w:r>
        <w:rPr>
          <w:sz w:val="24"/>
          <w:szCs w:val="24"/>
        </w:rPr>
        <w:t>2</w:t>
      </w:r>
      <w:r>
        <w:rPr>
          <w:rFonts w:hint="eastAsia"/>
          <w:sz w:val="24"/>
          <w:szCs w:val="24"/>
        </w:rPr>
        <w:t>、</w:t>
      </w:r>
      <w:r>
        <w:rPr>
          <w:sz w:val="24"/>
          <w:szCs w:val="24"/>
        </w:rPr>
        <w:t>3</w:t>
      </w:r>
      <w:r>
        <w:rPr>
          <w:rFonts w:hint="eastAsia"/>
          <w:sz w:val="24"/>
          <w:szCs w:val="24"/>
        </w:rPr>
        <w:t>、</w:t>
      </w:r>
      <w:r>
        <w:rPr>
          <w:sz w:val="24"/>
          <w:szCs w:val="24"/>
        </w:rPr>
        <w:t>5</w:t>
      </w:r>
      <w:r>
        <w:rPr>
          <w:rFonts w:hint="eastAsia"/>
          <w:sz w:val="24"/>
          <w:szCs w:val="24"/>
        </w:rPr>
        <w:t>次等谐波影响还有无功的剧烈波动，并影响</w:t>
      </w:r>
      <w:r>
        <w:rPr>
          <w:sz w:val="24"/>
          <w:szCs w:val="24"/>
        </w:rPr>
        <w:t>PCC</w:t>
      </w:r>
      <w:r>
        <w:rPr>
          <w:rFonts w:hint="eastAsia"/>
          <w:sz w:val="24"/>
          <w:szCs w:val="24"/>
        </w:rPr>
        <w:t>点电压，</w:t>
      </w:r>
      <w:r>
        <w:rPr>
          <w:sz w:val="24"/>
          <w:szCs w:val="24"/>
        </w:rPr>
        <w:t>FC</w:t>
      </w:r>
      <w:r>
        <w:rPr>
          <w:rFonts w:hint="eastAsia"/>
          <w:sz w:val="24"/>
          <w:szCs w:val="24"/>
        </w:rPr>
        <w:t>对应的电压电流参数设计时都是针对对应次数谐波，实际电压电流参数校核要考虑到接入</w:t>
      </w:r>
      <w:r>
        <w:rPr>
          <w:sz w:val="24"/>
          <w:szCs w:val="24"/>
        </w:rPr>
        <w:t>PCC</w:t>
      </w:r>
      <w:r>
        <w:rPr>
          <w:rFonts w:hint="eastAsia"/>
          <w:sz w:val="24"/>
          <w:szCs w:val="24"/>
        </w:rPr>
        <w:t>点的</w:t>
      </w:r>
      <w:r>
        <w:rPr>
          <w:sz w:val="24"/>
          <w:szCs w:val="24"/>
        </w:rPr>
        <w:t>FC</w:t>
      </w:r>
      <w:r>
        <w:rPr>
          <w:rFonts w:hint="eastAsia"/>
          <w:sz w:val="24"/>
          <w:szCs w:val="24"/>
        </w:rPr>
        <w:t>支路并联产生的谐振、其它次谐波以及基波在</w:t>
      </w:r>
      <w:r>
        <w:rPr>
          <w:sz w:val="24"/>
          <w:szCs w:val="24"/>
        </w:rPr>
        <w:t>FC</w:t>
      </w:r>
      <w:r>
        <w:rPr>
          <w:rFonts w:hint="eastAsia"/>
          <w:sz w:val="24"/>
          <w:szCs w:val="24"/>
        </w:rPr>
        <w:t>支路上产生的影响。</w:t>
      </w:r>
    </w:p>
    <w:p>
      <w:pPr>
        <w:spacing w:line="440" w:lineRule="exact"/>
        <w:ind w:firstLine="480" w:firstLineChars="200"/>
        <w:rPr>
          <w:sz w:val="24"/>
          <w:szCs w:val="24"/>
        </w:rPr>
      </w:pPr>
      <w:r>
        <w:rPr>
          <w:sz w:val="24"/>
          <w:szCs w:val="24"/>
        </w:rPr>
        <w:t>2. FC</w:t>
      </w:r>
      <w:r>
        <w:rPr>
          <w:rFonts w:hint="eastAsia"/>
          <w:sz w:val="24"/>
          <w:szCs w:val="24"/>
        </w:rPr>
        <w:t>参数校核：以</w:t>
      </w:r>
      <w:r>
        <w:rPr>
          <w:sz w:val="24"/>
          <w:szCs w:val="24"/>
        </w:rPr>
        <w:t>3</w:t>
      </w:r>
      <w:r>
        <w:rPr>
          <w:rFonts w:hint="eastAsia"/>
          <w:sz w:val="24"/>
          <w:szCs w:val="24"/>
        </w:rPr>
        <w:t>次谐波</w:t>
      </w:r>
      <w:r>
        <w:rPr>
          <w:sz w:val="24"/>
          <w:szCs w:val="24"/>
        </w:rPr>
        <w:t>FC</w:t>
      </w:r>
      <w:r>
        <w:rPr>
          <w:rFonts w:hint="eastAsia"/>
          <w:sz w:val="24"/>
          <w:szCs w:val="24"/>
        </w:rPr>
        <w:t>支路为例，综合计算系统中</w:t>
      </w:r>
      <w:r>
        <w:rPr>
          <w:sz w:val="24"/>
          <w:szCs w:val="24"/>
        </w:rPr>
        <w:t>2</w:t>
      </w:r>
      <w:r>
        <w:rPr>
          <w:rFonts w:hint="eastAsia"/>
          <w:sz w:val="24"/>
          <w:szCs w:val="24"/>
        </w:rPr>
        <w:t>、</w:t>
      </w:r>
      <w:r>
        <w:rPr>
          <w:sz w:val="24"/>
          <w:szCs w:val="24"/>
        </w:rPr>
        <w:t>5</w:t>
      </w:r>
      <w:r>
        <w:rPr>
          <w:rFonts w:hint="eastAsia"/>
          <w:sz w:val="24"/>
          <w:szCs w:val="24"/>
        </w:rPr>
        <w:t>次谐波以及基波在该支路中对电容</w:t>
      </w:r>
      <w:r>
        <w:rPr>
          <w:sz w:val="24"/>
          <w:szCs w:val="24"/>
        </w:rPr>
        <w:t>C</w:t>
      </w:r>
      <w:r>
        <w:rPr>
          <w:rFonts w:hint="eastAsia"/>
          <w:sz w:val="24"/>
          <w:szCs w:val="24"/>
        </w:rPr>
        <w:t>以及电感</w:t>
      </w:r>
      <w:r>
        <w:rPr>
          <w:sz w:val="24"/>
          <w:szCs w:val="24"/>
        </w:rPr>
        <w:t>L</w:t>
      </w:r>
      <w:r>
        <w:rPr>
          <w:rFonts w:hint="eastAsia"/>
          <w:sz w:val="24"/>
          <w:szCs w:val="24"/>
        </w:rPr>
        <w:t>的影响，考虑</w:t>
      </w:r>
      <w:r>
        <w:rPr>
          <w:sz w:val="24"/>
          <w:szCs w:val="24"/>
        </w:rPr>
        <w:t>LC</w:t>
      </w:r>
      <w:r>
        <w:rPr>
          <w:rFonts w:hint="eastAsia"/>
          <w:sz w:val="24"/>
          <w:szCs w:val="24"/>
        </w:rPr>
        <w:t>谐振特性，在改变电容额定电压</w:t>
      </w:r>
      <w:r>
        <w:rPr>
          <w:sz w:val="24"/>
          <w:szCs w:val="24"/>
        </w:rPr>
        <w:t>Un</w:t>
      </w:r>
      <w:r>
        <w:rPr>
          <w:rFonts w:hint="eastAsia"/>
          <w:sz w:val="24"/>
          <w:szCs w:val="24"/>
        </w:rPr>
        <w:t>的同时，根据</w:t>
      </w:r>
      <w:r>
        <w:rPr>
          <w:sz w:val="24"/>
          <w:szCs w:val="24"/>
        </w:rPr>
        <w:t>FC</w:t>
      </w:r>
      <w:r>
        <w:rPr>
          <w:rFonts w:hint="eastAsia"/>
          <w:sz w:val="24"/>
          <w:szCs w:val="24"/>
        </w:rPr>
        <w:t>支路的品质因数</w:t>
      </w:r>
      <w:r>
        <w:rPr>
          <w:sz w:val="24"/>
          <w:szCs w:val="24"/>
        </w:rPr>
        <w:t>Q</w:t>
      </w:r>
      <w:r>
        <w:rPr>
          <w:rFonts w:hint="eastAsia"/>
          <w:sz w:val="24"/>
          <w:szCs w:val="24"/>
        </w:rPr>
        <w:t>，同步调整电感</w:t>
      </w:r>
      <w:r>
        <w:rPr>
          <w:sz w:val="24"/>
          <w:szCs w:val="24"/>
        </w:rPr>
        <w:t>L</w:t>
      </w:r>
      <w:r>
        <w:rPr>
          <w:rFonts w:hint="eastAsia"/>
          <w:sz w:val="24"/>
          <w:szCs w:val="24"/>
        </w:rPr>
        <w:t>以及电流定额</w:t>
      </w:r>
      <w:r>
        <w:rPr>
          <w:sz w:val="24"/>
          <w:szCs w:val="24"/>
        </w:rPr>
        <w:t>In</w:t>
      </w:r>
      <w:r>
        <w:rPr>
          <w:rFonts w:hint="eastAsia"/>
          <w:sz w:val="24"/>
          <w:szCs w:val="24"/>
        </w:rPr>
        <w:t>。</w:t>
      </w:r>
    </w:p>
    <w:p>
      <w:pPr>
        <w:spacing w:line="440" w:lineRule="exact"/>
        <w:ind w:firstLine="480" w:firstLineChars="200"/>
        <w:rPr>
          <w:sz w:val="24"/>
          <w:szCs w:val="24"/>
        </w:rPr>
      </w:pPr>
      <w:r>
        <w:rPr>
          <w:sz w:val="24"/>
          <w:szCs w:val="24"/>
        </w:rPr>
        <w:t xml:space="preserve">3. </w:t>
      </w:r>
      <w:r>
        <w:rPr>
          <w:rFonts w:hint="eastAsia"/>
          <w:sz w:val="24"/>
          <w:szCs w:val="24"/>
        </w:rPr>
        <w:t>避免</w:t>
      </w:r>
      <w:r>
        <w:rPr>
          <w:sz w:val="24"/>
          <w:szCs w:val="24"/>
        </w:rPr>
        <w:t>FC</w:t>
      </w:r>
      <w:r>
        <w:rPr>
          <w:rFonts w:hint="eastAsia"/>
          <w:sz w:val="24"/>
          <w:szCs w:val="24"/>
        </w:rPr>
        <w:t>支路系统谐振：</w:t>
      </w:r>
      <w:r>
        <w:rPr>
          <w:sz w:val="24"/>
          <w:szCs w:val="24"/>
        </w:rPr>
        <w:t>FC</w:t>
      </w:r>
      <w:r>
        <w:rPr>
          <w:rFonts w:hint="eastAsia"/>
          <w:sz w:val="24"/>
          <w:szCs w:val="24"/>
        </w:rPr>
        <w:t>引起的系统谐振会增加</w:t>
      </w:r>
      <w:r>
        <w:rPr>
          <w:sz w:val="24"/>
          <w:szCs w:val="24"/>
        </w:rPr>
        <w:t>L</w:t>
      </w:r>
      <w:r>
        <w:rPr>
          <w:rFonts w:hint="eastAsia"/>
          <w:sz w:val="24"/>
          <w:szCs w:val="24"/>
        </w:rPr>
        <w:t>、</w:t>
      </w:r>
      <w:r>
        <w:rPr>
          <w:sz w:val="24"/>
          <w:szCs w:val="24"/>
        </w:rPr>
        <w:t>C</w:t>
      </w:r>
      <w:r>
        <w:rPr>
          <w:rFonts w:hint="eastAsia"/>
          <w:sz w:val="24"/>
          <w:szCs w:val="24"/>
        </w:rPr>
        <w:t>的电压电流值，并引起整个补偿系统性能的恶化，因此根据电弧炉运营数据计算的</w:t>
      </w:r>
      <w:r>
        <w:rPr>
          <w:sz w:val="24"/>
          <w:szCs w:val="24"/>
        </w:rPr>
        <w:t>FC</w:t>
      </w:r>
      <w:r>
        <w:rPr>
          <w:rFonts w:hint="eastAsia"/>
          <w:sz w:val="24"/>
          <w:szCs w:val="24"/>
        </w:rPr>
        <w:t>参数需要根据整个系统补偿参数以及线路参数进行校核避免系统谐振。</w:t>
      </w:r>
    </w:p>
    <w:p>
      <w:pPr>
        <w:spacing w:line="440" w:lineRule="exact"/>
        <w:rPr>
          <w:sz w:val="24"/>
          <w:szCs w:val="24"/>
        </w:rPr>
      </w:pPr>
      <w:r>
        <w:rPr>
          <w:rFonts w:hint="eastAsia"/>
          <w:b/>
          <w:sz w:val="24"/>
          <w:szCs w:val="24"/>
        </w:rPr>
        <w:t>步骤（七）：</w:t>
      </w:r>
      <w:r>
        <w:rPr>
          <w:b/>
          <w:sz w:val="24"/>
          <w:szCs w:val="24"/>
        </w:rPr>
        <w:t>FC</w:t>
      </w:r>
      <w:r>
        <w:rPr>
          <w:rFonts w:hint="eastAsia"/>
          <w:b/>
          <w:sz w:val="24"/>
          <w:szCs w:val="24"/>
        </w:rPr>
        <w:t>支路的安全操作</w:t>
      </w:r>
    </w:p>
    <w:p>
      <w:pPr>
        <w:spacing w:line="440" w:lineRule="exact"/>
        <w:ind w:firstLine="480" w:firstLineChars="200"/>
        <w:rPr>
          <w:rFonts w:ascii="宋体"/>
          <w:sz w:val="24"/>
          <w:szCs w:val="24"/>
        </w:rPr>
      </w:pPr>
      <w:r>
        <w:rPr>
          <w:rFonts w:ascii="宋体" w:hAnsi="宋体" w:cs="MS Shell Dlg"/>
          <w:sz w:val="24"/>
          <w:szCs w:val="24"/>
        </w:rPr>
        <w:t xml:space="preserve">1. </w:t>
      </w:r>
      <w:r>
        <w:rPr>
          <w:rFonts w:hint="eastAsia" w:ascii="宋体" w:hAnsi="宋体" w:cs="MS Shell Dlg"/>
          <w:sz w:val="24"/>
          <w:szCs w:val="24"/>
        </w:rPr>
        <w:t>根据电弧炉运营中的谐波特征，</w:t>
      </w:r>
      <w:r>
        <w:rPr>
          <w:rFonts w:ascii="宋体" w:hAnsi="宋体" w:cs="MS Shell Dlg"/>
          <w:sz w:val="24"/>
          <w:szCs w:val="24"/>
        </w:rPr>
        <w:t>FC</w:t>
      </w:r>
      <w:r>
        <w:rPr>
          <w:rFonts w:hint="eastAsia" w:ascii="宋体" w:hAnsi="宋体" w:cs="MS Shell Dlg"/>
          <w:sz w:val="24"/>
          <w:szCs w:val="24"/>
        </w:rPr>
        <w:t>支路包含</w:t>
      </w:r>
      <w:r>
        <w:rPr>
          <w:rFonts w:ascii="宋体" w:hAnsi="宋体" w:cs="MS Shell Dlg"/>
          <w:sz w:val="24"/>
          <w:szCs w:val="24"/>
        </w:rPr>
        <w:t>2</w:t>
      </w:r>
      <w:r>
        <w:rPr>
          <w:rFonts w:hint="eastAsia" w:ascii="宋体" w:hAnsi="宋体" w:cs="MS Shell Dlg"/>
          <w:sz w:val="24"/>
          <w:szCs w:val="24"/>
        </w:rPr>
        <w:t>、</w:t>
      </w:r>
      <w:r>
        <w:rPr>
          <w:rFonts w:ascii="宋体" w:hAnsi="宋体" w:cs="MS Shell Dlg"/>
          <w:sz w:val="24"/>
          <w:szCs w:val="24"/>
        </w:rPr>
        <w:t>3</w:t>
      </w:r>
      <w:r>
        <w:rPr>
          <w:rFonts w:hint="eastAsia" w:ascii="宋体" w:hAnsi="宋体" w:cs="MS Shell Dlg"/>
          <w:sz w:val="24"/>
          <w:szCs w:val="24"/>
        </w:rPr>
        <w:t>、</w:t>
      </w:r>
      <w:r>
        <w:rPr>
          <w:rFonts w:ascii="宋体" w:hAnsi="宋体" w:cs="MS Shell Dlg"/>
          <w:sz w:val="24"/>
          <w:szCs w:val="24"/>
        </w:rPr>
        <w:t>5</w:t>
      </w:r>
      <w:r>
        <w:rPr>
          <w:rFonts w:hint="eastAsia" w:ascii="宋体" w:hAnsi="宋体" w:cs="MS Shell Dlg"/>
          <w:sz w:val="24"/>
          <w:szCs w:val="24"/>
        </w:rPr>
        <w:t>次谐波，而考虑实际运营效率，每次谐波</w:t>
      </w:r>
      <w:r>
        <w:rPr>
          <w:rFonts w:ascii="宋体" w:hAnsi="宋体" w:cs="MS Shell Dlg"/>
          <w:sz w:val="24"/>
          <w:szCs w:val="24"/>
        </w:rPr>
        <w:t>FC</w:t>
      </w:r>
      <w:r>
        <w:rPr>
          <w:rFonts w:hint="eastAsia" w:ascii="宋体" w:hAnsi="宋体" w:cs="MS Shell Dlg"/>
          <w:sz w:val="24"/>
          <w:szCs w:val="24"/>
        </w:rPr>
        <w:t>支路都由多条支路并联，多条支路可以是相同容量，也可以是级差容量，实现电弧炉在不同的工作状态下，产生不同谐波容量的定量补偿提高整体补偿精度和效率。</w:t>
      </w:r>
    </w:p>
    <w:p>
      <w:pPr>
        <w:spacing w:line="440" w:lineRule="exact"/>
        <w:ind w:firstLine="480" w:firstLineChars="200"/>
        <w:rPr>
          <w:rFonts w:ascii="宋体" w:cs="MS Shell Dlg"/>
          <w:sz w:val="24"/>
          <w:szCs w:val="24"/>
        </w:rPr>
      </w:pPr>
      <w:r>
        <w:rPr>
          <w:rFonts w:ascii="宋体" w:hAnsi="宋体" w:cs="MS Shell Dlg"/>
          <w:sz w:val="24"/>
          <w:szCs w:val="24"/>
        </w:rPr>
        <w:t xml:space="preserve">2. </w:t>
      </w:r>
      <w:r>
        <w:rPr>
          <w:rFonts w:hint="eastAsia" w:ascii="宋体" w:hAnsi="宋体" w:cs="MS Shell Dlg"/>
          <w:sz w:val="24"/>
          <w:szCs w:val="24"/>
        </w:rPr>
        <w:t>实际补偿支路的投切需要按照一定的操作规程，以保证补偿系统的安全运营，即：不同次数的谐波</w:t>
      </w:r>
      <w:r>
        <w:rPr>
          <w:rFonts w:ascii="宋体" w:hAnsi="宋体" w:cs="MS Shell Dlg"/>
          <w:sz w:val="24"/>
          <w:szCs w:val="24"/>
        </w:rPr>
        <w:t>FC</w:t>
      </w:r>
      <w:r>
        <w:rPr>
          <w:rFonts w:hint="eastAsia" w:ascii="宋体" w:hAnsi="宋体" w:cs="MS Shell Dlg"/>
          <w:sz w:val="24"/>
          <w:szCs w:val="24"/>
        </w:rPr>
        <w:t>低次支路先投入后切出，高次谐波</w:t>
      </w:r>
      <w:r>
        <w:rPr>
          <w:rFonts w:ascii="宋体" w:hAnsi="宋体" w:cs="MS Shell Dlg"/>
          <w:sz w:val="24"/>
          <w:szCs w:val="24"/>
        </w:rPr>
        <w:t>FC</w:t>
      </w:r>
      <w:r>
        <w:rPr>
          <w:rFonts w:hint="eastAsia" w:ascii="宋体" w:hAnsi="宋体" w:cs="MS Shell Dlg"/>
          <w:sz w:val="24"/>
          <w:szCs w:val="24"/>
        </w:rPr>
        <w:t>后投入先切出；而同一个次数的</w:t>
      </w:r>
      <w:r>
        <w:rPr>
          <w:rFonts w:ascii="宋体" w:hAnsi="宋体" w:cs="MS Shell Dlg"/>
          <w:sz w:val="24"/>
          <w:szCs w:val="24"/>
        </w:rPr>
        <w:t>FC</w:t>
      </w:r>
      <w:r>
        <w:rPr>
          <w:rFonts w:hint="eastAsia" w:ascii="宋体" w:hAnsi="宋体" w:cs="MS Shell Dlg"/>
          <w:sz w:val="24"/>
          <w:szCs w:val="24"/>
        </w:rPr>
        <w:t>不同支路之间按照大容量先投入后切出，小容量支路后投入先切出原则；而不同容量的</w:t>
      </w:r>
      <w:r>
        <w:rPr>
          <w:rFonts w:ascii="宋体" w:hAnsi="宋体" w:cs="MS Shell Dlg"/>
          <w:sz w:val="24"/>
          <w:szCs w:val="24"/>
        </w:rPr>
        <w:t>FC</w:t>
      </w:r>
      <w:r>
        <w:rPr>
          <w:rFonts w:hint="eastAsia" w:ascii="宋体" w:hAnsi="宋体" w:cs="MS Shell Dlg"/>
          <w:sz w:val="24"/>
          <w:szCs w:val="24"/>
        </w:rPr>
        <w:t>支路的投切逻辑还要按照不同级差的组合来实现尽可能多的补偿级差，以提高补偿精度。</w:t>
      </w:r>
    </w:p>
    <w:p>
      <w:pPr>
        <w:spacing w:line="440" w:lineRule="exact"/>
        <w:rPr>
          <w:b/>
          <w:sz w:val="24"/>
          <w:szCs w:val="24"/>
        </w:rPr>
      </w:pPr>
      <w:r>
        <w:rPr>
          <w:rFonts w:hint="eastAsia"/>
          <w:b/>
          <w:sz w:val="24"/>
          <w:szCs w:val="24"/>
        </w:rPr>
        <w:t>步骤（八）：手动控制运行结果的演示</w:t>
      </w:r>
    </w:p>
    <w:p>
      <w:pPr>
        <w:spacing w:line="440" w:lineRule="exact"/>
        <w:ind w:firstLine="480" w:firstLineChars="200"/>
        <w:rPr>
          <w:sz w:val="24"/>
          <w:szCs w:val="24"/>
        </w:rPr>
      </w:pPr>
      <w:r>
        <w:rPr>
          <w:sz w:val="24"/>
          <w:szCs w:val="24"/>
        </w:rPr>
        <w:t xml:space="preserve">1. </w:t>
      </w:r>
      <w:r>
        <w:rPr>
          <w:rFonts w:hint="eastAsia"/>
          <w:sz w:val="24"/>
          <w:szCs w:val="24"/>
        </w:rPr>
        <w:t>为投入补偿环节的</w:t>
      </w:r>
      <w:r>
        <w:rPr>
          <w:sz w:val="24"/>
          <w:szCs w:val="24"/>
        </w:rPr>
        <w:t>PCC</w:t>
      </w:r>
      <w:r>
        <w:rPr>
          <w:rFonts w:hint="eastAsia"/>
          <w:sz w:val="24"/>
          <w:szCs w:val="24"/>
        </w:rPr>
        <w:t>参数观测：电弧炉在运营过程中产生</w:t>
      </w:r>
      <w:r>
        <w:rPr>
          <w:sz w:val="24"/>
          <w:szCs w:val="24"/>
        </w:rPr>
        <w:t>2</w:t>
      </w:r>
      <w:r>
        <w:rPr>
          <w:rFonts w:hint="eastAsia"/>
          <w:sz w:val="24"/>
          <w:szCs w:val="24"/>
        </w:rPr>
        <w:t>、</w:t>
      </w:r>
      <w:r>
        <w:rPr>
          <w:sz w:val="24"/>
          <w:szCs w:val="24"/>
        </w:rPr>
        <w:t>3</w:t>
      </w:r>
      <w:r>
        <w:rPr>
          <w:rFonts w:hint="eastAsia"/>
          <w:sz w:val="24"/>
          <w:szCs w:val="24"/>
        </w:rPr>
        <w:t>、</w:t>
      </w:r>
      <w:r>
        <w:rPr>
          <w:sz w:val="24"/>
          <w:szCs w:val="24"/>
        </w:rPr>
        <w:t>5</w:t>
      </w:r>
      <w:r>
        <w:rPr>
          <w:rFonts w:hint="eastAsia"/>
          <w:sz w:val="24"/>
          <w:szCs w:val="24"/>
        </w:rPr>
        <w:t>次等谐波以及无功的剧烈波动，反映在</w:t>
      </w:r>
      <w:r>
        <w:rPr>
          <w:sz w:val="24"/>
          <w:szCs w:val="24"/>
        </w:rPr>
        <w:t>PCC</w:t>
      </w:r>
      <w:r>
        <w:rPr>
          <w:rFonts w:hint="eastAsia"/>
          <w:sz w:val="24"/>
          <w:szCs w:val="24"/>
        </w:rPr>
        <w:t>点电压会产生剧烈波动，而电流波形也会产生严重畸变，虚拟仿真环境根据电弧炉运营的底层数据，在虚拟示波器上描绘出来，能更直观地看到电压电流波形畸变以及闪变。</w:t>
      </w:r>
    </w:p>
    <w:p>
      <w:pPr>
        <w:spacing w:line="440" w:lineRule="exact"/>
        <w:ind w:firstLine="480" w:firstLineChars="200"/>
        <w:rPr>
          <w:sz w:val="24"/>
          <w:szCs w:val="24"/>
        </w:rPr>
      </w:pPr>
      <w:r>
        <w:rPr>
          <w:sz w:val="24"/>
          <w:szCs w:val="24"/>
        </w:rPr>
        <w:t xml:space="preserve">2. </w:t>
      </w:r>
      <w:r>
        <w:rPr>
          <w:rFonts w:hint="eastAsia"/>
          <w:sz w:val="24"/>
          <w:szCs w:val="24"/>
        </w:rPr>
        <w:t>手动控制</w:t>
      </w:r>
      <w:r>
        <w:rPr>
          <w:sz w:val="24"/>
          <w:szCs w:val="24"/>
        </w:rPr>
        <w:t>FC</w:t>
      </w:r>
      <w:r>
        <w:rPr>
          <w:rFonts w:hint="eastAsia"/>
          <w:sz w:val="24"/>
          <w:szCs w:val="24"/>
        </w:rPr>
        <w:t>的投切：根据电弧炉产生的各次谐波的容量，在安全操作原则指导下，进行所设计的多条</w:t>
      </w:r>
      <w:r>
        <w:rPr>
          <w:sz w:val="24"/>
          <w:szCs w:val="24"/>
        </w:rPr>
        <w:t>FC</w:t>
      </w:r>
      <w:r>
        <w:rPr>
          <w:rFonts w:hint="eastAsia"/>
          <w:sz w:val="24"/>
          <w:szCs w:val="24"/>
        </w:rPr>
        <w:t>支路投切。</w:t>
      </w:r>
    </w:p>
    <w:p>
      <w:pPr>
        <w:spacing w:line="440" w:lineRule="exact"/>
        <w:ind w:firstLine="480" w:firstLineChars="200"/>
        <w:rPr>
          <w:sz w:val="24"/>
          <w:szCs w:val="24"/>
        </w:rPr>
      </w:pPr>
      <w:r>
        <w:rPr>
          <w:sz w:val="24"/>
          <w:szCs w:val="24"/>
        </w:rPr>
        <w:t>3. FC</w:t>
      </w:r>
      <w:r>
        <w:rPr>
          <w:rFonts w:hint="eastAsia"/>
          <w:sz w:val="24"/>
          <w:szCs w:val="24"/>
        </w:rPr>
        <w:t>投切效果演示：每次投切一条</w:t>
      </w:r>
      <w:r>
        <w:rPr>
          <w:sz w:val="24"/>
          <w:szCs w:val="24"/>
        </w:rPr>
        <w:t>FC</w:t>
      </w:r>
      <w:r>
        <w:rPr>
          <w:rFonts w:hint="eastAsia"/>
          <w:sz w:val="24"/>
          <w:szCs w:val="24"/>
        </w:rPr>
        <w:t>支路，都要用虚拟示波器观测</w:t>
      </w:r>
      <w:r>
        <w:rPr>
          <w:sz w:val="24"/>
          <w:szCs w:val="24"/>
        </w:rPr>
        <w:t>PCC</w:t>
      </w:r>
      <w:r>
        <w:rPr>
          <w:rFonts w:hint="eastAsia"/>
          <w:sz w:val="24"/>
          <w:szCs w:val="24"/>
        </w:rPr>
        <w:t>点的电压电流波形，对比投切前后产生的效果，同时在仿真的底层数据库记录每次投切的支路的</w:t>
      </w:r>
      <w:r>
        <w:rPr>
          <w:sz w:val="24"/>
          <w:szCs w:val="24"/>
        </w:rPr>
        <w:t>FC</w:t>
      </w:r>
      <w:r>
        <w:rPr>
          <w:rFonts w:hint="eastAsia"/>
          <w:sz w:val="24"/>
          <w:szCs w:val="24"/>
        </w:rPr>
        <w:t>参数，以及投切前后的</w:t>
      </w:r>
      <w:r>
        <w:rPr>
          <w:sz w:val="24"/>
          <w:szCs w:val="24"/>
        </w:rPr>
        <w:t>PCC</w:t>
      </w:r>
      <w:r>
        <w:rPr>
          <w:rFonts w:hint="eastAsia"/>
          <w:sz w:val="24"/>
          <w:szCs w:val="24"/>
        </w:rPr>
        <w:t>点的电压电流具体各次谐波的变化情况。</w:t>
      </w:r>
    </w:p>
    <w:p>
      <w:pPr>
        <w:spacing w:line="440" w:lineRule="exact"/>
        <w:rPr>
          <w:b/>
          <w:sz w:val="24"/>
          <w:szCs w:val="24"/>
        </w:rPr>
      </w:pPr>
      <w:r>
        <w:rPr>
          <w:rFonts w:hint="eastAsia"/>
          <w:b/>
          <w:sz w:val="24"/>
          <w:szCs w:val="24"/>
        </w:rPr>
        <w:t>步骤（九）：自动控制运行结果的演示</w:t>
      </w:r>
    </w:p>
    <w:p>
      <w:pPr>
        <w:spacing w:line="440" w:lineRule="exact"/>
        <w:ind w:firstLine="480" w:firstLineChars="200"/>
        <w:rPr>
          <w:sz w:val="24"/>
          <w:szCs w:val="24"/>
        </w:rPr>
      </w:pPr>
      <w:r>
        <w:rPr>
          <w:sz w:val="24"/>
          <w:szCs w:val="24"/>
        </w:rPr>
        <w:t xml:space="preserve">1. </w:t>
      </w:r>
      <w:r>
        <w:rPr>
          <w:rFonts w:hint="eastAsia"/>
          <w:sz w:val="24"/>
          <w:szCs w:val="24"/>
        </w:rPr>
        <w:t>根据安全操作规程以及电弧炉的不同运营状态的数据，系统设置为自动控制运行模式下，会自动地根据电弧炉产生的谐波数据，选择投切不同的</w:t>
      </w:r>
      <w:r>
        <w:rPr>
          <w:sz w:val="24"/>
          <w:szCs w:val="24"/>
        </w:rPr>
        <w:t>FC</w:t>
      </w:r>
      <w:r>
        <w:rPr>
          <w:rFonts w:hint="eastAsia"/>
          <w:sz w:val="24"/>
          <w:szCs w:val="24"/>
        </w:rPr>
        <w:t>支路达到补偿谐波和无功目的，最终提高</w:t>
      </w:r>
      <w:r>
        <w:rPr>
          <w:sz w:val="24"/>
          <w:szCs w:val="24"/>
        </w:rPr>
        <w:t>PCC</w:t>
      </w:r>
      <w:r>
        <w:rPr>
          <w:rFonts w:hint="eastAsia"/>
          <w:sz w:val="24"/>
          <w:szCs w:val="24"/>
        </w:rPr>
        <w:t>点的功率因数高于</w:t>
      </w:r>
      <w:r>
        <w:rPr>
          <w:sz w:val="24"/>
          <w:szCs w:val="24"/>
        </w:rPr>
        <w:t>0.98</w:t>
      </w:r>
      <w:r>
        <w:rPr>
          <w:rFonts w:hint="eastAsia"/>
          <w:sz w:val="24"/>
          <w:szCs w:val="24"/>
        </w:rPr>
        <w:t>的指标。</w:t>
      </w:r>
    </w:p>
    <w:p>
      <w:pPr>
        <w:spacing w:line="440" w:lineRule="exact"/>
        <w:ind w:firstLine="480" w:firstLineChars="200"/>
        <w:rPr>
          <w:sz w:val="24"/>
          <w:szCs w:val="24"/>
        </w:rPr>
      </w:pPr>
      <w:r>
        <w:rPr>
          <w:sz w:val="24"/>
          <w:szCs w:val="24"/>
        </w:rPr>
        <w:t xml:space="preserve">2. </w:t>
      </w:r>
      <w:r>
        <w:rPr>
          <w:rFonts w:hint="eastAsia"/>
          <w:sz w:val="24"/>
          <w:szCs w:val="24"/>
        </w:rPr>
        <w:t>补偿结果演示，通过</w:t>
      </w:r>
      <w:r>
        <w:rPr>
          <w:sz w:val="24"/>
          <w:szCs w:val="24"/>
        </w:rPr>
        <w:t>PCC</w:t>
      </w:r>
      <w:r>
        <w:rPr>
          <w:rFonts w:hint="eastAsia"/>
          <w:sz w:val="24"/>
          <w:szCs w:val="24"/>
        </w:rPr>
        <w:t>点处的虚拟示波器观察补偿前后的电压电流波形，让操作的学生能够看到每一个</w:t>
      </w:r>
      <w:r>
        <w:rPr>
          <w:sz w:val="24"/>
          <w:szCs w:val="24"/>
        </w:rPr>
        <w:t>FC</w:t>
      </w:r>
      <w:r>
        <w:rPr>
          <w:rFonts w:hint="eastAsia"/>
          <w:sz w:val="24"/>
          <w:szCs w:val="24"/>
        </w:rPr>
        <w:t>支路投切产生的实际补偿效果，比如改善网侧电流波形，提升实际功率因数，以及产生具体的经济效益（节约了多少电能）。</w:t>
      </w:r>
    </w:p>
    <w:p>
      <w:pPr>
        <w:spacing w:line="440" w:lineRule="exact"/>
        <w:ind w:firstLine="480" w:firstLineChars="200"/>
        <w:rPr>
          <w:sz w:val="24"/>
          <w:szCs w:val="24"/>
        </w:rPr>
      </w:pPr>
      <w:r>
        <w:rPr>
          <w:sz w:val="24"/>
          <w:szCs w:val="24"/>
        </w:rPr>
        <w:t xml:space="preserve">3. </w:t>
      </w:r>
      <w:r>
        <w:rPr>
          <w:rFonts w:hint="eastAsia"/>
          <w:sz w:val="24"/>
          <w:szCs w:val="24"/>
        </w:rPr>
        <w:t>自动控制的响应曲线的观测：</w:t>
      </w:r>
      <w:r>
        <w:rPr>
          <w:sz w:val="24"/>
          <w:szCs w:val="24"/>
        </w:rPr>
        <w:t>FC</w:t>
      </w:r>
      <w:r>
        <w:rPr>
          <w:rFonts w:hint="eastAsia"/>
          <w:sz w:val="24"/>
          <w:szCs w:val="24"/>
        </w:rPr>
        <w:t>投切目的用于补偿电弧炉产生的谐波，而谐波容量也会随着电弧炉的不同运营进程而实时变化，因此自动控制系统需要准确快速的跟踪这些实时变换的谐波数据，并绘制出各次谐波的补偿容量曲线和电弧炉产生的谐波曲线数据，反映出补偿的准确性和快速性。</w:t>
      </w:r>
    </w:p>
    <w:p>
      <w:pPr>
        <w:spacing w:line="440" w:lineRule="exact"/>
        <w:rPr>
          <w:b/>
          <w:sz w:val="24"/>
          <w:szCs w:val="24"/>
        </w:rPr>
      </w:pPr>
      <w:r>
        <w:rPr>
          <w:rFonts w:hint="eastAsia"/>
          <w:b/>
          <w:sz w:val="24"/>
          <w:szCs w:val="24"/>
        </w:rPr>
        <w:t>步骤（十）：负荷数据的变化情况演示</w:t>
      </w:r>
    </w:p>
    <w:p>
      <w:pPr>
        <w:spacing w:line="440" w:lineRule="exact"/>
        <w:ind w:firstLine="480" w:firstLineChars="200"/>
        <w:rPr>
          <w:sz w:val="24"/>
          <w:szCs w:val="24"/>
        </w:rPr>
      </w:pPr>
      <w:r>
        <w:rPr>
          <w:rFonts w:hint="eastAsia"/>
          <w:sz w:val="24"/>
          <w:szCs w:val="24"/>
        </w:rPr>
        <w:t>由于电弧炉在起弧、加热和保温等不同阶段的符合变化比较剧烈，所以电弧炉配电环节不仅产生大量的谐波和无功，还会产生剧烈的有功功率的波动，在通过</w:t>
      </w:r>
      <w:r>
        <w:rPr>
          <w:sz w:val="24"/>
          <w:szCs w:val="24"/>
        </w:rPr>
        <w:t>FC</w:t>
      </w:r>
      <w:r>
        <w:rPr>
          <w:rFonts w:hint="eastAsia"/>
          <w:sz w:val="24"/>
          <w:szCs w:val="24"/>
        </w:rPr>
        <w:t>以及</w:t>
      </w:r>
      <w:r>
        <w:rPr>
          <w:sz w:val="24"/>
          <w:szCs w:val="24"/>
        </w:rPr>
        <w:t>TCR</w:t>
      </w:r>
      <w:r>
        <w:rPr>
          <w:rFonts w:hint="eastAsia"/>
          <w:sz w:val="24"/>
          <w:szCs w:val="24"/>
        </w:rPr>
        <w:t>的补偿后</w:t>
      </w:r>
      <w:r>
        <w:rPr>
          <w:sz w:val="24"/>
          <w:szCs w:val="24"/>
        </w:rPr>
        <w:t>PCC</w:t>
      </w:r>
      <w:r>
        <w:rPr>
          <w:rFonts w:hint="eastAsia"/>
          <w:sz w:val="24"/>
          <w:szCs w:val="24"/>
        </w:rPr>
        <w:t>端仍会有比较大的有功电流的波动，而大容量的有功波动也会影响附近的用电设备以及配电网的稳定性，而仿真平台也能够实时绘制出</w:t>
      </w:r>
      <w:r>
        <w:rPr>
          <w:sz w:val="24"/>
          <w:szCs w:val="24"/>
        </w:rPr>
        <w:t>PCC</w:t>
      </w:r>
      <w:r>
        <w:rPr>
          <w:rFonts w:hint="eastAsia"/>
          <w:sz w:val="24"/>
          <w:szCs w:val="24"/>
        </w:rPr>
        <w:t>点的有功功率波动曲线，为进一步的</w:t>
      </w:r>
      <w:r>
        <w:rPr>
          <w:sz w:val="24"/>
          <w:szCs w:val="24"/>
        </w:rPr>
        <w:t>PCC</w:t>
      </w:r>
      <w:r>
        <w:rPr>
          <w:rFonts w:hint="eastAsia"/>
          <w:sz w:val="24"/>
          <w:szCs w:val="24"/>
        </w:rPr>
        <w:t>点的能量波动的平抑奠定基础。</w:t>
      </w:r>
    </w:p>
    <w:p>
      <w:pPr>
        <w:spacing w:line="440" w:lineRule="exact"/>
        <w:rPr>
          <w:b/>
          <w:sz w:val="24"/>
          <w:szCs w:val="24"/>
        </w:rPr>
      </w:pPr>
      <w:r>
        <w:rPr>
          <w:rFonts w:hint="eastAsia"/>
          <w:b/>
          <w:sz w:val="24"/>
          <w:szCs w:val="24"/>
        </w:rPr>
        <w:t>步骤（十一）：评价与回顾</w:t>
      </w:r>
    </w:p>
    <w:p>
      <w:pPr>
        <w:tabs>
          <w:tab w:val="left" w:pos="312"/>
        </w:tabs>
        <w:spacing w:line="440" w:lineRule="exact"/>
        <w:ind w:firstLine="480" w:firstLineChars="200"/>
        <w:rPr>
          <w:sz w:val="24"/>
          <w:szCs w:val="24"/>
        </w:rPr>
      </w:pPr>
      <w:r>
        <w:rPr>
          <w:sz w:val="24"/>
          <w:szCs w:val="24"/>
        </w:rPr>
        <w:t xml:space="preserve">1. </w:t>
      </w:r>
      <w:r>
        <w:rPr>
          <w:rFonts w:hint="eastAsia"/>
          <w:sz w:val="24"/>
          <w:szCs w:val="24"/>
        </w:rPr>
        <w:t>该仿真平台通过电网侧运行设计设定、负荷侧运行数据的设定，进行</w:t>
      </w:r>
      <w:r>
        <w:rPr>
          <w:sz w:val="24"/>
          <w:szCs w:val="24"/>
        </w:rPr>
        <w:t>SVC</w:t>
      </w:r>
      <w:r>
        <w:rPr>
          <w:rFonts w:hint="eastAsia"/>
          <w:sz w:val="24"/>
          <w:szCs w:val="24"/>
        </w:rPr>
        <w:t>的参数配置，再将设计的</w:t>
      </w:r>
      <w:r>
        <w:rPr>
          <w:sz w:val="24"/>
          <w:szCs w:val="24"/>
        </w:rPr>
        <w:t>FC</w:t>
      </w:r>
      <w:r>
        <w:rPr>
          <w:rFonts w:hint="eastAsia"/>
          <w:sz w:val="24"/>
          <w:szCs w:val="24"/>
        </w:rPr>
        <w:t>和</w:t>
      </w:r>
      <w:r>
        <w:rPr>
          <w:sz w:val="24"/>
          <w:szCs w:val="24"/>
        </w:rPr>
        <w:t>TCR</w:t>
      </w:r>
      <w:r>
        <w:rPr>
          <w:rFonts w:hint="eastAsia"/>
          <w:sz w:val="24"/>
          <w:szCs w:val="24"/>
        </w:rPr>
        <w:t>投入到电弧炉的配电网</w:t>
      </w:r>
      <w:r>
        <w:rPr>
          <w:sz w:val="24"/>
          <w:szCs w:val="24"/>
        </w:rPr>
        <w:t>PCC</w:t>
      </w:r>
      <w:r>
        <w:rPr>
          <w:rFonts w:hint="eastAsia"/>
          <w:sz w:val="24"/>
          <w:szCs w:val="24"/>
        </w:rPr>
        <w:t>点，通过观测不同</w:t>
      </w:r>
      <w:r>
        <w:rPr>
          <w:sz w:val="24"/>
          <w:szCs w:val="24"/>
        </w:rPr>
        <w:t>FC</w:t>
      </w:r>
      <w:r>
        <w:rPr>
          <w:rFonts w:hint="eastAsia"/>
          <w:sz w:val="24"/>
          <w:szCs w:val="24"/>
        </w:rPr>
        <w:t>和</w:t>
      </w:r>
      <w:r>
        <w:rPr>
          <w:sz w:val="24"/>
          <w:szCs w:val="24"/>
        </w:rPr>
        <w:t>TCR</w:t>
      </w:r>
      <w:r>
        <w:rPr>
          <w:rFonts w:hint="eastAsia"/>
          <w:sz w:val="24"/>
          <w:szCs w:val="24"/>
        </w:rPr>
        <w:t>参数对</w:t>
      </w:r>
      <w:r>
        <w:rPr>
          <w:sz w:val="24"/>
          <w:szCs w:val="24"/>
        </w:rPr>
        <w:t>PCC</w:t>
      </w:r>
      <w:r>
        <w:rPr>
          <w:rFonts w:hint="eastAsia"/>
          <w:sz w:val="24"/>
          <w:szCs w:val="24"/>
        </w:rPr>
        <w:t>点的谐波以及功率因数参数的影响，让学生理解无功和谐波补偿对配电网的正面影响。</w:t>
      </w:r>
    </w:p>
    <w:p>
      <w:pPr>
        <w:tabs>
          <w:tab w:val="left" w:pos="312"/>
        </w:tabs>
        <w:spacing w:line="440" w:lineRule="exact"/>
        <w:ind w:firstLine="480" w:firstLineChars="200"/>
        <w:rPr>
          <w:sz w:val="24"/>
          <w:szCs w:val="24"/>
        </w:rPr>
      </w:pPr>
      <w:r>
        <w:rPr>
          <w:sz w:val="24"/>
          <w:szCs w:val="24"/>
        </w:rPr>
        <w:t xml:space="preserve">2. </w:t>
      </w:r>
      <w:r>
        <w:rPr>
          <w:rFonts w:hint="eastAsia"/>
          <w:sz w:val="24"/>
          <w:szCs w:val="24"/>
        </w:rPr>
        <w:t>根据所投入的补偿支路，可以核算投入</w:t>
      </w:r>
      <w:r>
        <w:rPr>
          <w:sz w:val="24"/>
          <w:szCs w:val="24"/>
        </w:rPr>
        <w:t>FC</w:t>
      </w:r>
      <w:r>
        <w:rPr>
          <w:rFonts w:hint="eastAsia"/>
          <w:sz w:val="24"/>
          <w:szCs w:val="24"/>
        </w:rPr>
        <w:t>和</w:t>
      </w:r>
      <w:r>
        <w:rPr>
          <w:sz w:val="24"/>
          <w:szCs w:val="24"/>
        </w:rPr>
        <w:t>TCR</w:t>
      </w:r>
      <w:r>
        <w:rPr>
          <w:rFonts w:hint="eastAsia"/>
          <w:sz w:val="24"/>
          <w:szCs w:val="24"/>
        </w:rPr>
        <w:t>补偿的经济效益。</w:t>
      </w:r>
    </w:p>
    <w:p>
      <w:pPr>
        <w:tabs>
          <w:tab w:val="left" w:pos="312"/>
        </w:tabs>
        <w:spacing w:line="440" w:lineRule="exact"/>
        <w:ind w:firstLine="480" w:firstLineChars="200"/>
        <w:rPr>
          <w:sz w:val="24"/>
          <w:szCs w:val="24"/>
        </w:rPr>
      </w:pPr>
      <w:r>
        <w:rPr>
          <w:sz w:val="24"/>
          <w:szCs w:val="24"/>
        </w:rPr>
        <w:t xml:space="preserve">3. </w:t>
      </w:r>
      <w:r>
        <w:rPr>
          <w:rFonts w:hint="eastAsia"/>
          <w:sz w:val="24"/>
          <w:szCs w:val="24"/>
        </w:rPr>
        <w:t>学会</w:t>
      </w:r>
      <w:r>
        <w:rPr>
          <w:sz w:val="24"/>
          <w:szCs w:val="24"/>
        </w:rPr>
        <w:t>FC</w:t>
      </w:r>
      <w:r>
        <w:rPr>
          <w:rFonts w:hint="eastAsia"/>
          <w:sz w:val="24"/>
          <w:szCs w:val="24"/>
        </w:rPr>
        <w:t>支路投入的安全操作规程，以及优化</w:t>
      </w:r>
      <w:r>
        <w:rPr>
          <w:sz w:val="24"/>
          <w:szCs w:val="24"/>
        </w:rPr>
        <w:t>FC</w:t>
      </w:r>
      <w:r>
        <w:rPr>
          <w:rFonts w:hint="eastAsia"/>
          <w:sz w:val="24"/>
          <w:szCs w:val="24"/>
        </w:rPr>
        <w:t>补偿精度的支路投切逻辑。</w:t>
      </w:r>
    </w:p>
    <w:p>
      <w:pPr>
        <w:spacing w:line="440" w:lineRule="exact"/>
        <w:rPr>
          <w:b/>
          <w:sz w:val="24"/>
          <w:szCs w:val="24"/>
        </w:rPr>
      </w:pPr>
      <w:r>
        <w:rPr>
          <w:rFonts w:hint="eastAsia"/>
          <w:b/>
          <w:sz w:val="24"/>
          <w:szCs w:val="24"/>
        </w:rPr>
        <w:t>★五、商务要求</w:t>
      </w:r>
    </w:p>
    <w:p>
      <w:pPr>
        <w:spacing w:line="360" w:lineRule="auto"/>
        <w:ind w:firstLine="480" w:firstLineChars="200"/>
        <w:rPr>
          <w:sz w:val="24"/>
          <w:lang w:val="zh-CN"/>
        </w:rPr>
      </w:pPr>
      <w:r>
        <w:rPr>
          <w:sz w:val="24"/>
          <w:lang w:val="zh-CN"/>
        </w:rPr>
        <w:t>1.</w:t>
      </w:r>
      <w:r>
        <w:rPr>
          <w:rFonts w:hint="eastAsia"/>
          <w:sz w:val="24"/>
          <w:lang w:val="zh-CN"/>
        </w:rPr>
        <w:t>供货时间</w:t>
      </w:r>
      <w:r>
        <w:rPr>
          <w:sz w:val="24"/>
          <w:lang w:val="zh-CN"/>
        </w:rPr>
        <w:t>:</w:t>
      </w:r>
      <w:r>
        <w:rPr>
          <w:rFonts w:hint="eastAsia"/>
          <w:sz w:val="24"/>
          <w:lang w:val="zh-CN"/>
        </w:rPr>
        <w:t>合同签订后</w:t>
      </w:r>
      <w:r>
        <w:rPr>
          <w:sz w:val="24"/>
          <w:lang w:val="zh-CN"/>
        </w:rPr>
        <w:t xml:space="preserve"> 30 </w:t>
      </w:r>
      <w:r>
        <w:rPr>
          <w:rFonts w:hint="eastAsia"/>
          <w:sz w:val="24"/>
          <w:lang w:val="zh-CN"/>
        </w:rPr>
        <w:t>日内供货安装调试到位。</w:t>
      </w:r>
    </w:p>
    <w:p>
      <w:pPr>
        <w:spacing w:line="360" w:lineRule="auto"/>
        <w:ind w:firstLine="480" w:firstLineChars="200"/>
        <w:rPr>
          <w:sz w:val="24"/>
          <w:lang w:val="zh-CN"/>
        </w:rPr>
      </w:pPr>
      <w:r>
        <w:rPr>
          <w:sz w:val="24"/>
          <w:lang w:val="zh-CN"/>
        </w:rPr>
        <w:t>2.</w:t>
      </w:r>
      <w:r>
        <w:rPr>
          <w:rFonts w:hint="eastAsia"/>
          <w:sz w:val="24"/>
          <w:lang w:val="zh-CN"/>
        </w:rPr>
        <w:t>供货地点</w:t>
      </w:r>
      <w:r>
        <w:rPr>
          <w:sz w:val="24"/>
          <w:lang w:val="zh-CN"/>
        </w:rPr>
        <w:t>:</w:t>
      </w:r>
      <w:r>
        <w:rPr>
          <w:rFonts w:hint="eastAsia"/>
          <w:sz w:val="24"/>
          <w:lang w:val="zh-CN"/>
        </w:rPr>
        <w:t>淮阴工学院自动化学院笃行楼</w:t>
      </w:r>
    </w:p>
    <w:p>
      <w:pPr>
        <w:spacing w:line="360" w:lineRule="auto"/>
        <w:ind w:firstLine="480" w:firstLineChars="200"/>
        <w:rPr>
          <w:sz w:val="24"/>
          <w:lang w:val="zh-CN"/>
        </w:rPr>
      </w:pPr>
      <w:r>
        <w:rPr>
          <w:sz w:val="24"/>
          <w:lang w:val="zh-CN"/>
        </w:rPr>
        <w:t>3.</w:t>
      </w:r>
      <w:r>
        <w:rPr>
          <w:rFonts w:hint="eastAsia"/>
          <w:sz w:val="24"/>
          <w:lang w:val="zh-CN"/>
        </w:rPr>
        <w:t>付款方式</w:t>
      </w:r>
      <w:r>
        <w:rPr>
          <w:sz w:val="24"/>
          <w:lang w:val="zh-CN"/>
        </w:rPr>
        <w:t xml:space="preserve">: </w:t>
      </w:r>
      <w:r>
        <w:rPr>
          <w:rFonts w:hint="eastAsia"/>
          <w:sz w:val="24"/>
          <w:lang w:val="zh-CN"/>
        </w:rPr>
        <w:t>合同期内货到我校安装、调试完毕，验收合格后，付合同款的</w:t>
      </w:r>
      <w:r>
        <w:rPr>
          <w:sz w:val="24"/>
          <w:lang w:val="zh-CN"/>
        </w:rPr>
        <w:t>95%</w:t>
      </w:r>
      <w:r>
        <w:rPr>
          <w:rFonts w:hint="eastAsia"/>
          <w:sz w:val="24"/>
          <w:lang w:val="zh-CN"/>
        </w:rPr>
        <w:t>；余下</w:t>
      </w:r>
      <w:r>
        <w:rPr>
          <w:sz w:val="24"/>
          <w:lang w:val="zh-CN"/>
        </w:rPr>
        <w:t>5%</w:t>
      </w:r>
      <w:r>
        <w:rPr>
          <w:rFonts w:hint="eastAsia"/>
          <w:sz w:val="24"/>
          <w:lang w:val="zh-CN"/>
        </w:rPr>
        <w:t>合同款作为质量保证金，待一年后使用无质量及售后服务等问题后结清余款（不计息）；如有质量问题，不能及时更换或不能及时维保到位，尾款不予支付</w:t>
      </w:r>
      <w:r>
        <w:rPr>
          <w:rFonts w:hint="eastAsia"/>
          <w:sz w:val="24"/>
        </w:rPr>
        <w:t>并按合同追究赔偿等责任</w:t>
      </w:r>
      <w:r>
        <w:rPr>
          <w:rFonts w:hint="eastAsia"/>
          <w:sz w:val="24"/>
          <w:lang w:val="zh-CN"/>
        </w:rPr>
        <w:t>。如验收不合格以及发现伪劣产品等，采购人将视其情况，采取退货、拒付货款、索赔等措施，直至向质量技术监督主管部门报告，依法处理。</w:t>
      </w:r>
    </w:p>
    <w:p>
      <w:pPr>
        <w:spacing w:line="440" w:lineRule="exact"/>
        <w:rPr>
          <w:b/>
          <w:kern w:val="0"/>
          <w:sz w:val="24"/>
          <w:szCs w:val="24"/>
        </w:rPr>
      </w:pPr>
      <w:r>
        <w:rPr>
          <w:rFonts w:hint="eastAsia"/>
          <w:b/>
          <w:kern w:val="0"/>
          <w:sz w:val="24"/>
          <w:szCs w:val="24"/>
        </w:rPr>
        <w:t>六、其它要求</w:t>
      </w:r>
    </w:p>
    <w:p>
      <w:pPr>
        <w:spacing w:line="440" w:lineRule="exact"/>
        <w:ind w:firstLine="480" w:firstLineChars="200"/>
        <w:rPr>
          <w:rFonts w:ascii="宋体" w:cs="MS Shell Dlg"/>
          <w:sz w:val="24"/>
          <w:szCs w:val="24"/>
        </w:rPr>
      </w:pPr>
      <w:r>
        <w:rPr>
          <w:rFonts w:ascii="宋体" w:hAnsi="宋体" w:cs="MS Shell Dlg"/>
          <w:sz w:val="24"/>
          <w:szCs w:val="24"/>
        </w:rPr>
        <w:t>1.</w:t>
      </w:r>
      <w:r>
        <w:rPr>
          <w:rFonts w:hint="eastAsia" w:ascii="宋体" w:hAnsi="宋体" w:cs="MS Shell Dlg"/>
          <w:sz w:val="24"/>
          <w:szCs w:val="24"/>
        </w:rPr>
        <w:t>投标人应保证提供满足招标人正常使用的必要配置及附件而不再需要花费任何额外的费用，</w:t>
      </w:r>
      <w:r>
        <w:rPr>
          <w:rFonts w:hint="eastAsia"/>
          <w:sz w:val="24"/>
          <w:szCs w:val="24"/>
        </w:rPr>
        <w:t>即使</w:t>
      </w:r>
      <w:r>
        <w:rPr>
          <w:rFonts w:hint="eastAsia" w:ascii="宋体" w:hAnsi="宋体" w:cs="MS Shell Dlg"/>
          <w:sz w:val="24"/>
          <w:szCs w:val="24"/>
        </w:rPr>
        <w:t>采购方在制定竞争性磋商文件时要求不够具体，投标人也须保证安装后就能正常工作。</w:t>
      </w:r>
    </w:p>
    <w:p>
      <w:pPr>
        <w:spacing w:line="440" w:lineRule="exact"/>
        <w:ind w:firstLine="480" w:firstLineChars="200"/>
        <w:rPr>
          <w:rFonts w:ascii="宋体" w:cs="MS Shell Dlg"/>
          <w:sz w:val="24"/>
          <w:szCs w:val="24"/>
        </w:rPr>
      </w:pPr>
      <w:r>
        <w:rPr>
          <w:rFonts w:ascii="宋体" w:hAnsi="宋体" w:cs="MS Shell Dlg"/>
          <w:sz w:val="24"/>
          <w:szCs w:val="24"/>
        </w:rPr>
        <w:t>2.</w:t>
      </w:r>
      <w:r>
        <w:rPr>
          <w:rFonts w:hint="eastAsia" w:ascii="宋体" w:hAnsi="宋体"/>
          <w:sz w:val="24"/>
          <w:szCs w:val="24"/>
        </w:rPr>
        <w:t>提供投标人服务承诺、系统运行维护方案，提供系统三年免费质保、免费升级，</w:t>
      </w:r>
      <w:r>
        <w:rPr>
          <w:rFonts w:hint="eastAsia" w:ascii="宋体" w:hAnsi="宋体" w:cs="MS Shell Dlg"/>
          <w:sz w:val="24"/>
          <w:szCs w:val="24"/>
        </w:rPr>
        <w:t>使用过程</w:t>
      </w:r>
      <w:r>
        <w:rPr>
          <w:rFonts w:hint="eastAsia"/>
          <w:sz w:val="24"/>
          <w:szCs w:val="24"/>
        </w:rPr>
        <w:t>中长期</w:t>
      </w:r>
      <w:r>
        <w:rPr>
          <w:rFonts w:hint="eastAsia" w:ascii="宋体" w:hAnsi="宋体" w:cs="MS Shell Dlg"/>
          <w:sz w:val="24"/>
          <w:szCs w:val="24"/>
        </w:rPr>
        <w:t>提供免费培训、咨询、解释、指导等服务。</w:t>
      </w:r>
      <w:r>
        <w:rPr>
          <w:rFonts w:hint="eastAsia" w:ascii="宋体" w:hAnsi="宋体"/>
          <w:sz w:val="24"/>
          <w:szCs w:val="24"/>
        </w:rPr>
        <w:t>质保期内</w:t>
      </w:r>
      <w:r>
        <w:rPr>
          <w:rFonts w:hint="eastAsia" w:ascii="宋体" w:hAnsi="宋体" w:cs="MS Shell Dlg"/>
          <w:sz w:val="24"/>
          <w:szCs w:val="24"/>
        </w:rPr>
        <w:t>遇到问题服务响应时间为</w:t>
      </w:r>
      <w:r>
        <w:rPr>
          <w:rFonts w:ascii="宋体" w:hAnsi="宋体" w:cs="MS Shell Dlg"/>
          <w:sz w:val="24"/>
          <w:szCs w:val="24"/>
        </w:rPr>
        <w:t>24</w:t>
      </w:r>
      <w:r>
        <w:rPr>
          <w:rFonts w:hint="eastAsia" w:ascii="宋体" w:hAnsi="宋体" w:cs="MS Shell Dlg"/>
          <w:sz w:val="24"/>
          <w:szCs w:val="24"/>
        </w:rPr>
        <w:t>小时内，</w:t>
      </w:r>
      <w:r>
        <w:rPr>
          <w:rFonts w:hint="eastAsia"/>
          <w:sz w:val="24"/>
          <w:szCs w:val="24"/>
        </w:rPr>
        <w:t>修复</w:t>
      </w:r>
      <w:r>
        <w:rPr>
          <w:rFonts w:hint="eastAsia" w:ascii="宋体" w:hAnsi="宋体" w:cs="MS Shell Dlg"/>
          <w:sz w:val="24"/>
          <w:szCs w:val="24"/>
        </w:rPr>
        <w:t>时间不得超过</w:t>
      </w:r>
      <w:r>
        <w:rPr>
          <w:rFonts w:ascii="宋体" w:hAnsi="宋体" w:cs="MS Shell Dlg"/>
          <w:sz w:val="24"/>
          <w:szCs w:val="24"/>
        </w:rPr>
        <w:t>1</w:t>
      </w:r>
      <w:r>
        <w:rPr>
          <w:rFonts w:hint="eastAsia" w:ascii="宋体" w:hAnsi="宋体" w:cs="MS Shell Dlg"/>
          <w:sz w:val="24"/>
          <w:szCs w:val="24"/>
        </w:rPr>
        <w:t>周；满质保后遇到问题服务响应时间为</w:t>
      </w:r>
      <w:r>
        <w:rPr>
          <w:rFonts w:ascii="宋体" w:hAnsi="宋体" w:cs="MS Shell Dlg"/>
          <w:sz w:val="24"/>
          <w:szCs w:val="24"/>
        </w:rPr>
        <w:t>36</w:t>
      </w:r>
      <w:r>
        <w:rPr>
          <w:rFonts w:hint="eastAsia" w:ascii="宋体" w:hAnsi="宋体" w:cs="MS Shell Dlg"/>
          <w:sz w:val="24"/>
          <w:szCs w:val="24"/>
        </w:rPr>
        <w:t>小时内，修复时间不得超过</w:t>
      </w:r>
      <w:r>
        <w:rPr>
          <w:rFonts w:ascii="宋体" w:hAnsi="宋体" w:cs="MS Shell Dlg"/>
          <w:sz w:val="24"/>
          <w:szCs w:val="24"/>
        </w:rPr>
        <w:t>3</w:t>
      </w:r>
      <w:r>
        <w:rPr>
          <w:rFonts w:hint="eastAsia" w:ascii="宋体" w:hAnsi="宋体" w:cs="MS Shell Dlg"/>
          <w:sz w:val="24"/>
          <w:szCs w:val="24"/>
        </w:rPr>
        <w:t>周。</w:t>
      </w:r>
    </w:p>
    <w:p>
      <w:pPr>
        <w:spacing w:line="300" w:lineRule="auto"/>
        <w:ind w:firstLine="736" w:firstLineChars="200"/>
        <w:jc w:val="center"/>
        <w:rPr>
          <w:rFonts w:ascii="方正小标宋简体" w:eastAsia="方正小标宋简体"/>
          <w:spacing w:val="4"/>
          <w:sz w:val="36"/>
          <w:szCs w:val="36"/>
        </w:rPr>
      </w:pPr>
    </w:p>
    <w:p>
      <w:pPr>
        <w:spacing w:line="300" w:lineRule="auto"/>
        <w:ind w:firstLine="736" w:firstLineChars="200"/>
        <w:jc w:val="center"/>
        <w:rPr>
          <w:rFonts w:ascii="方正小标宋简体" w:eastAsia="方正小标宋简体"/>
          <w:spacing w:val="4"/>
          <w:sz w:val="36"/>
          <w:szCs w:val="36"/>
        </w:rPr>
      </w:pPr>
    </w:p>
    <w:p>
      <w:pPr>
        <w:spacing w:line="300" w:lineRule="auto"/>
        <w:ind w:firstLine="736" w:firstLineChars="200"/>
        <w:jc w:val="center"/>
        <w:rPr>
          <w:rFonts w:ascii="方正小标宋简体" w:eastAsia="方正小标宋简体"/>
          <w:color w:val="000000"/>
          <w:spacing w:val="4"/>
          <w:sz w:val="36"/>
          <w:szCs w:val="36"/>
        </w:rPr>
      </w:pP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3"/>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r>
              <w:rPr>
                <w:rFonts w:hint="eastAsia" w:ascii="宋体" w:hAnsi="宋体" w:cs="宋体"/>
                <w:b/>
                <w:bCs/>
                <w:szCs w:val="21"/>
              </w:rPr>
              <w:t>钢铁企业配电系统优化虚拟仿真项目</w:t>
            </w: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sz w:val="24"/>
          <w:lang w:val="zh-CN"/>
        </w:rPr>
        <w:t xml:space="preserve">30 </w:t>
      </w:r>
      <w:r>
        <w:rPr>
          <w:rFonts w:hint="eastAsia"/>
          <w:sz w:val="24"/>
          <w:lang w:val="zh-CN"/>
        </w:rPr>
        <w:t>日内供货安装调试到位</w:t>
      </w:r>
      <w:r>
        <w:rPr>
          <w:rFonts w:hint="eastAsia" w:ascii="宋体" w:hAnsi="宋体" w:cs="宋体"/>
          <w:sz w:val="24"/>
          <w:szCs w:val="24"/>
        </w:rPr>
        <w:t>。</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4"/>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500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u w:val="single"/>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设备应根据本合同及其竞争性磋商文件、磋商响应文件进行验收，竞争性磋商文件、磋商响应文件与本合同相抵触的，以本合同为准。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竞争性磋商文件、磋商响应文件均是本合同的组成部分，本合同未尽事宜或发生合同纠纷时由双方协商解决。无法协商解决的可向淮安市开发区人民法院提起诉讼。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300" w:lineRule="auto"/>
        <w:ind w:firstLine="480" w:firstLineChars="200"/>
        <w:jc w:val="center"/>
        <w:rPr>
          <w:rFonts w:ascii="方正小标宋简体" w:eastAsia="方正小标宋简体"/>
          <w:spacing w:val="4"/>
          <w:sz w:val="36"/>
          <w:szCs w:val="36"/>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spacing w:line="300" w:lineRule="auto"/>
        <w:ind w:firstLine="736" w:firstLineChars="200"/>
        <w:jc w:val="center"/>
        <w:rPr>
          <w:rFonts w:ascii="方正小标宋简体" w:eastAsia="方正小标宋简体"/>
          <w:spacing w:val="4"/>
          <w:sz w:val="36"/>
          <w:szCs w:val="36"/>
        </w:rPr>
      </w:pPr>
    </w:p>
    <w:p>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磋商响应文件样式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磋商响应文件封面和材料袋格式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项目竞争性磋商文件（项目编号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．我方愿按竞争性磋商文件的要求提供货物和服务，投标货物及服务的投标总价为：（大写）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．我方接受竞争性磋商文件的所有条款、条件和</w:t>
      </w:r>
      <w:r>
        <w:rPr>
          <w:rFonts w:hint="eastAsia"/>
          <w:bCs/>
          <w:color w:val="000000"/>
          <w:sz w:val="24"/>
        </w:rPr>
        <w:t>规定</w:t>
      </w:r>
      <w:r>
        <w:rPr>
          <w:rFonts w:hint="eastAsia"/>
          <w:color w:val="000000"/>
          <w:sz w:val="24"/>
        </w:rPr>
        <w:t>，</w:t>
      </w:r>
      <w:r>
        <w:rPr>
          <w:rFonts w:hint="eastAsia"/>
          <w:bCs/>
          <w:color w:val="000000"/>
          <w:sz w:val="24"/>
        </w:rPr>
        <w:t>放弃对竞争性磋商文件提出质疑的权利。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．我方同意按照竞争性磋商文件的要求提供所有资料、数据或信息，并保证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取消投标资格、取消中标资格、没收磋商保证金、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．我方如中标，将保证遵守竞争性磋商文件对供应商的所有要求和规定，履行自己在磋商响应文件中承诺的全部责任和义务。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．本磋商响应文件的有效期为投标截止日后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p>
    <w:p>
      <w:pPr>
        <w:widowControl/>
        <w:jc w:val="left"/>
        <w:rPr>
          <w:bCs/>
          <w:color w:val="000000"/>
          <w:sz w:val="24"/>
          <w:szCs w:val="24"/>
        </w:rPr>
      </w:pPr>
    </w:p>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）投标活动，代表本公司签署磋商响应文件、进行招标、进行合同谈判、签订合同和处理与之有关的一切事务。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_x0000_s1026" o:spid="_x0000_s1026" o:spt="202" type="#_x0000_t202" style="position:absolute;left:0pt;margin-left:103.5pt;margin-top:7.05pt;height:148.2pt;width:261pt;z-index:251658240;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yk3iNkAAAAKAQAADwAAAAAAAAABACAAAAAiAAAAZHJzL2Rvd25yZXYueG1sUEsB&#10;AhQAFAAAAAgAh07iQKid99QtAgAASAQAAA4AAAAAAAAAAQAgAAAAKAEAAGRycy9lMm9Eb2MueG1s&#10;UEsFBgAAAAAGAAYAWQEAAMcFA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代表我公司签署投标函和磋商响应文件，与采购人协商、澄清、解释，进行合同谈判、签订合同，并处理与该项目有关的一切事务。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gul2PXAAAABwEAAA8AAAAAAAAAAQAgAAAAIgAAAGRycy9kb3ducmV2LnhtbFBLAQIU&#10;ABQAAAAIAIdO4kAV+2kXLQIAAEgEAAAOAAAAAAAAAAEAIAAAACYBAABkcnMvZTJvRG9jLnhtbFBL&#10;BQYAAAAABgAGAFkBAADFBQAA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_x0000_s1028"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kYWym2gAAAAoBAAAPAAAAAAAAAAEAIAAAACIAAABkcnMvZG93bnJldi54bWxQSwEC&#10;FAAUAAAACACHTuJAzH4eBCsCAABIBAAADgAAAAAAAAABACAAAAApAQAAZHJzL2Uyb0RvYy54bWxQ&#10;SwUGAAAAAAYABgBZAQAAxg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p>
            <w:pPr>
              <w:spacing w:line="340" w:lineRule="exact"/>
              <w:jc w:val="center"/>
              <w:rPr>
                <w:color w:val="000000"/>
                <w:szCs w:val="21"/>
              </w:rPr>
            </w:pPr>
          </w:p>
          <w:p>
            <w:pPr>
              <w:spacing w:line="340" w:lineRule="exact"/>
              <w:jc w:val="center"/>
              <w:rPr>
                <w:color w:val="000000"/>
                <w:szCs w:val="21"/>
              </w:rPr>
            </w:pPr>
          </w:p>
          <w:p>
            <w:pPr>
              <w:spacing w:line="340" w:lineRule="exact"/>
              <w:jc w:val="center"/>
              <w:rPr>
                <w:color w:val="000000"/>
                <w:szCs w:val="21"/>
              </w:rPr>
            </w:pPr>
          </w:p>
          <w:p>
            <w:pPr>
              <w:spacing w:line="340" w:lineRule="exact"/>
              <w:jc w:val="center"/>
              <w:rPr>
                <w:color w:val="000000"/>
                <w:szCs w:val="21"/>
              </w:rPr>
            </w:pPr>
          </w:p>
          <w:p>
            <w:pPr>
              <w:spacing w:line="340" w:lineRule="exact"/>
              <w:jc w:val="center"/>
              <w:rPr>
                <w:color w:val="000000"/>
                <w:szCs w:val="21"/>
              </w:rPr>
            </w:pPr>
          </w:p>
          <w:p>
            <w:pPr>
              <w:spacing w:line="340" w:lineRule="exact"/>
              <w:jc w:val="center"/>
              <w:rPr>
                <w:color w:val="000000"/>
                <w:szCs w:val="21"/>
              </w:rPr>
            </w:pPr>
          </w:p>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6"/>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6"/>
        <w:spacing w:line="440" w:lineRule="exact"/>
        <w:jc w:val="center"/>
        <w:rPr>
          <w:rFonts w:ascii="Times New Roman" w:hAnsi="Times New Roman"/>
          <w:b/>
          <w:color w:val="000000"/>
          <w:sz w:val="32"/>
        </w:rPr>
      </w:pPr>
    </w:p>
    <w:tbl>
      <w:tblPr>
        <w:tblStyle w:val="12"/>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竞争性磋商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w:t>
      </w:r>
      <w:r>
        <w:rPr>
          <w:szCs w:val="21"/>
        </w:rPr>
        <w:t>2016</w:t>
      </w:r>
      <w:r>
        <w:rPr>
          <w:rFonts w:hint="eastAsia"/>
          <w:szCs w:val="21"/>
        </w:rPr>
        <w:t>年</w:t>
      </w:r>
      <w:r>
        <w:rPr>
          <w:szCs w:val="21"/>
        </w:rPr>
        <w:t>1</w:t>
      </w:r>
      <w:r>
        <w:rPr>
          <w:rFonts w:hint="eastAsia"/>
          <w:szCs w:val="21"/>
        </w:rPr>
        <w:t>月以来；须附</w:t>
      </w:r>
      <w:r>
        <w:rPr>
          <w:rFonts w:hint="eastAsia" w:ascii="宋体" w:hAnsi="宋体" w:cs="宋体"/>
          <w:color w:val="000000"/>
          <w:kern w:val="0"/>
          <w:szCs w:val="21"/>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磋商保证金退款单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（项目名称及项目编号）的招投标活动，在招投标过程中遵守了国家法律法规和贵校竞争性磋商文件的规定，无违法违规行为。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因我单位未能中标，现向贵校申请退还磋商保证金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磋商保证金退款具体信息见下表，我单位保证所提供信息的准确性，否则责任自负。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2"/>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备注：本项材料单独提供，不装订在竞争性磋商文件中，并附磋商保证金收据。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目前，我单位已按竞争性磋商文件规定及磋商响应文件承诺履行完相关义务，项目已经通过贵校验收，符合保证金退还的条件，现向贵校申请退还我单位交纳的本项目履约保证金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磋商保证金退款具体信息见下表，我单位保证所提供信息的准确性，否则责任自负。</w:t>
      </w:r>
    </w:p>
    <w:tbl>
      <w:tblPr>
        <w:tblStyle w:val="12"/>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备注：本项材料不装订在竞争性磋商文件中，须附履约保证金收据。在通过验收后，想项目使用单位提出申请办理。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2"/>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pPr>
        <w:jc w:val="center"/>
      </w:pPr>
      <w:r>
        <w:t xml:space="preserve"> </w:t>
      </w:r>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MS Shell Dlg">
    <w:altName w:val="Microsoft Sans Serif"/>
    <w:panose1 w:val="020B0604020202020204"/>
    <w:charset w:val="00"/>
    <w:family w:val="swiss"/>
    <w:pitch w:val="default"/>
    <w:sig w:usb0="00000000" w:usb1="00000000" w:usb2="00000008" w:usb3="00000000" w:csb0="000101FF"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9</w:t>
    </w:r>
    <w:r>
      <w:rPr>
        <w:lang w:val="zh-CN"/>
      </w:rPr>
      <w:fldChar w:fldCharType="end"/>
    </w:r>
  </w:p>
  <w:p>
    <w:pPr>
      <w:pStyle w:val="8"/>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D2DA2"/>
    <w:multiLevelType w:val="multilevel"/>
    <w:tmpl w:val="0F4D2DA2"/>
    <w:lvl w:ilvl="0" w:tentative="0">
      <w:start w:val="1"/>
      <w:numFmt w:val="decimal"/>
      <w:lvlText w:val="%1."/>
      <w:lvlJc w:val="left"/>
      <w:pPr>
        <w:ind w:left="720" w:hanging="360"/>
      </w:pPr>
      <w:rPr>
        <w:rFonts w:ascii="Times New Roman" w:hAnsi="Times New Roman" w:eastAsia="宋体" w:cs="Times New Roman"/>
      </w:rPr>
    </w:lvl>
    <w:lvl w:ilvl="1" w:tentative="0">
      <w:start w:val="1"/>
      <w:numFmt w:val="lowerLetter"/>
      <w:lvlText w:val="%2)"/>
      <w:lvlJc w:val="left"/>
      <w:pPr>
        <w:ind w:left="1200" w:hanging="420"/>
      </w:pPr>
      <w:rPr>
        <w:rFonts w:cs="Times New Roman"/>
      </w:rPr>
    </w:lvl>
    <w:lvl w:ilvl="2" w:tentative="0">
      <w:start w:val="1"/>
      <w:numFmt w:val="lowerRoman"/>
      <w:lvlText w:val="%3."/>
      <w:lvlJc w:val="right"/>
      <w:pPr>
        <w:ind w:left="1620" w:hanging="420"/>
      </w:pPr>
      <w:rPr>
        <w:rFonts w:cs="Times New Roman"/>
      </w:rPr>
    </w:lvl>
    <w:lvl w:ilvl="3" w:tentative="0">
      <w:start w:val="1"/>
      <w:numFmt w:val="decimal"/>
      <w:lvlText w:val="%4."/>
      <w:lvlJc w:val="left"/>
      <w:pPr>
        <w:ind w:left="2040" w:hanging="420"/>
      </w:pPr>
      <w:rPr>
        <w:rFonts w:cs="Times New Roman"/>
      </w:rPr>
    </w:lvl>
    <w:lvl w:ilvl="4" w:tentative="0">
      <w:start w:val="1"/>
      <w:numFmt w:val="lowerLetter"/>
      <w:lvlText w:val="%5)"/>
      <w:lvlJc w:val="left"/>
      <w:pPr>
        <w:ind w:left="2460" w:hanging="420"/>
      </w:pPr>
      <w:rPr>
        <w:rFonts w:cs="Times New Roman"/>
      </w:rPr>
    </w:lvl>
    <w:lvl w:ilvl="5" w:tentative="0">
      <w:start w:val="1"/>
      <w:numFmt w:val="lowerRoman"/>
      <w:lvlText w:val="%6."/>
      <w:lvlJc w:val="right"/>
      <w:pPr>
        <w:ind w:left="2880" w:hanging="420"/>
      </w:pPr>
      <w:rPr>
        <w:rFonts w:cs="Times New Roman"/>
      </w:rPr>
    </w:lvl>
    <w:lvl w:ilvl="6" w:tentative="0">
      <w:start w:val="1"/>
      <w:numFmt w:val="decimal"/>
      <w:lvlText w:val="%7."/>
      <w:lvlJc w:val="left"/>
      <w:pPr>
        <w:ind w:left="3300" w:hanging="420"/>
      </w:pPr>
      <w:rPr>
        <w:rFonts w:cs="Times New Roman"/>
      </w:rPr>
    </w:lvl>
    <w:lvl w:ilvl="7" w:tentative="0">
      <w:start w:val="1"/>
      <w:numFmt w:val="lowerLetter"/>
      <w:lvlText w:val="%8)"/>
      <w:lvlJc w:val="left"/>
      <w:pPr>
        <w:ind w:left="3720" w:hanging="420"/>
      </w:pPr>
      <w:rPr>
        <w:rFonts w:cs="Times New Roman"/>
      </w:rPr>
    </w:lvl>
    <w:lvl w:ilvl="8" w:tentative="0">
      <w:start w:val="1"/>
      <w:numFmt w:val="lowerRoman"/>
      <w:lvlText w:val="%9."/>
      <w:lvlJc w:val="right"/>
      <w:pPr>
        <w:ind w:left="4140" w:hanging="420"/>
      </w:pPr>
      <w:rPr>
        <w:rFonts w:cs="Times New Roman"/>
      </w:rPr>
    </w:lvl>
  </w:abstractNum>
  <w:abstractNum w:abstractNumId="1">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2">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3">
    <w:nsid w:val="598472F3"/>
    <w:multiLevelType w:val="multilevel"/>
    <w:tmpl w:val="598472F3"/>
    <w:lvl w:ilvl="0" w:tentative="0">
      <w:start w:val="1"/>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23D8"/>
    <w:rsid w:val="00003108"/>
    <w:rsid w:val="000100ED"/>
    <w:rsid w:val="00014005"/>
    <w:rsid w:val="000144E9"/>
    <w:rsid w:val="000157D6"/>
    <w:rsid w:val="00017890"/>
    <w:rsid w:val="000265D9"/>
    <w:rsid w:val="00030BFE"/>
    <w:rsid w:val="0003109D"/>
    <w:rsid w:val="000342F2"/>
    <w:rsid w:val="00035CFA"/>
    <w:rsid w:val="00037A44"/>
    <w:rsid w:val="000433B2"/>
    <w:rsid w:val="00045B5E"/>
    <w:rsid w:val="000478B3"/>
    <w:rsid w:val="00047B69"/>
    <w:rsid w:val="00047E25"/>
    <w:rsid w:val="00055323"/>
    <w:rsid w:val="0005588B"/>
    <w:rsid w:val="00056E5E"/>
    <w:rsid w:val="00056FF7"/>
    <w:rsid w:val="0006064C"/>
    <w:rsid w:val="00061FE6"/>
    <w:rsid w:val="00062965"/>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F28"/>
    <w:rsid w:val="000C0E81"/>
    <w:rsid w:val="000C220D"/>
    <w:rsid w:val="000C3243"/>
    <w:rsid w:val="000C3DB4"/>
    <w:rsid w:val="000C5CCA"/>
    <w:rsid w:val="000C7646"/>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2776C"/>
    <w:rsid w:val="00135F84"/>
    <w:rsid w:val="00140D0A"/>
    <w:rsid w:val="0014296F"/>
    <w:rsid w:val="00146573"/>
    <w:rsid w:val="00150973"/>
    <w:rsid w:val="00150DC5"/>
    <w:rsid w:val="00151324"/>
    <w:rsid w:val="001516FC"/>
    <w:rsid w:val="00152DB1"/>
    <w:rsid w:val="00154A97"/>
    <w:rsid w:val="00156A0F"/>
    <w:rsid w:val="00170627"/>
    <w:rsid w:val="001706A3"/>
    <w:rsid w:val="001709E5"/>
    <w:rsid w:val="0017434E"/>
    <w:rsid w:val="001767F2"/>
    <w:rsid w:val="00176A63"/>
    <w:rsid w:val="00182B40"/>
    <w:rsid w:val="00183749"/>
    <w:rsid w:val="00183B90"/>
    <w:rsid w:val="00184BC8"/>
    <w:rsid w:val="0018524D"/>
    <w:rsid w:val="00190D36"/>
    <w:rsid w:val="001A1AA6"/>
    <w:rsid w:val="001A6313"/>
    <w:rsid w:val="001A6A6B"/>
    <w:rsid w:val="001A71BF"/>
    <w:rsid w:val="001B5E69"/>
    <w:rsid w:val="001C0046"/>
    <w:rsid w:val="001C193E"/>
    <w:rsid w:val="001C1B9C"/>
    <w:rsid w:val="001C48A2"/>
    <w:rsid w:val="001C76A1"/>
    <w:rsid w:val="001D1927"/>
    <w:rsid w:val="001D1A07"/>
    <w:rsid w:val="001D1AB1"/>
    <w:rsid w:val="001D5B16"/>
    <w:rsid w:val="001D5BF3"/>
    <w:rsid w:val="001E02EE"/>
    <w:rsid w:val="001E0CFB"/>
    <w:rsid w:val="001E2E0C"/>
    <w:rsid w:val="001E4A05"/>
    <w:rsid w:val="001E78DD"/>
    <w:rsid w:val="001F60BA"/>
    <w:rsid w:val="001F7EAC"/>
    <w:rsid w:val="00200DF3"/>
    <w:rsid w:val="0020155E"/>
    <w:rsid w:val="002069CB"/>
    <w:rsid w:val="002079E6"/>
    <w:rsid w:val="00216190"/>
    <w:rsid w:val="002162E3"/>
    <w:rsid w:val="002169CB"/>
    <w:rsid w:val="00223964"/>
    <w:rsid w:val="00223DC2"/>
    <w:rsid w:val="002258F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4C2F"/>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3C9F"/>
    <w:rsid w:val="002D68E7"/>
    <w:rsid w:val="002E128B"/>
    <w:rsid w:val="002E2917"/>
    <w:rsid w:val="002E3A68"/>
    <w:rsid w:val="002E3A8C"/>
    <w:rsid w:val="002E4068"/>
    <w:rsid w:val="002E6B21"/>
    <w:rsid w:val="002F0B75"/>
    <w:rsid w:val="002F3357"/>
    <w:rsid w:val="002F4531"/>
    <w:rsid w:val="002F7056"/>
    <w:rsid w:val="002F7770"/>
    <w:rsid w:val="00300181"/>
    <w:rsid w:val="003004B3"/>
    <w:rsid w:val="00302FCF"/>
    <w:rsid w:val="003068EA"/>
    <w:rsid w:val="00311074"/>
    <w:rsid w:val="00311919"/>
    <w:rsid w:val="00314879"/>
    <w:rsid w:val="00314E00"/>
    <w:rsid w:val="00315A8A"/>
    <w:rsid w:val="00316A7B"/>
    <w:rsid w:val="00321127"/>
    <w:rsid w:val="00321A8A"/>
    <w:rsid w:val="00334521"/>
    <w:rsid w:val="00335CE0"/>
    <w:rsid w:val="003368E5"/>
    <w:rsid w:val="00337E4B"/>
    <w:rsid w:val="003402E6"/>
    <w:rsid w:val="0034035D"/>
    <w:rsid w:val="00342244"/>
    <w:rsid w:val="00345290"/>
    <w:rsid w:val="00345D48"/>
    <w:rsid w:val="0036034F"/>
    <w:rsid w:val="0036204F"/>
    <w:rsid w:val="0036213F"/>
    <w:rsid w:val="00363C01"/>
    <w:rsid w:val="003646DA"/>
    <w:rsid w:val="00367BCC"/>
    <w:rsid w:val="00374495"/>
    <w:rsid w:val="00374B29"/>
    <w:rsid w:val="003769E1"/>
    <w:rsid w:val="0038013D"/>
    <w:rsid w:val="00381A7A"/>
    <w:rsid w:val="0038645C"/>
    <w:rsid w:val="00391AC5"/>
    <w:rsid w:val="003941DA"/>
    <w:rsid w:val="00397C2F"/>
    <w:rsid w:val="003A0DA2"/>
    <w:rsid w:val="003A10C6"/>
    <w:rsid w:val="003A35EB"/>
    <w:rsid w:val="003A5449"/>
    <w:rsid w:val="003A56D3"/>
    <w:rsid w:val="003A68DB"/>
    <w:rsid w:val="003A7F29"/>
    <w:rsid w:val="003B445F"/>
    <w:rsid w:val="003B51D3"/>
    <w:rsid w:val="003B7351"/>
    <w:rsid w:val="003C12AB"/>
    <w:rsid w:val="003C2AF6"/>
    <w:rsid w:val="003C3F1B"/>
    <w:rsid w:val="003D0578"/>
    <w:rsid w:val="003D1E7B"/>
    <w:rsid w:val="003D337C"/>
    <w:rsid w:val="003D3985"/>
    <w:rsid w:val="003D5614"/>
    <w:rsid w:val="003D7765"/>
    <w:rsid w:val="003E73B4"/>
    <w:rsid w:val="003F053B"/>
    <w:rsid w:val="003F3D31"/>
    <w:rsid w:val="003F4121"/>
    <w:rsid w:val="003F41D3"/>
    <w:rsid w:val="003F486A"/>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3363"/>
    <w:rsid w:val="004355FE"/>
    <w:rsid w:val="00435A23"/>
    <w:rsid w:val="00436416"/>
    <w:rsid w:val="00441377"/>
    <w:rsid w:val="004449E4"/>
    <w:rsid w:val="00445BEC"/>
    <w:rsid w:val="00445D8C"/>
    <w:rsid w:val="004505BC"/>
    <w:rsid w:val="00455BCD"/>
    <w:rsid w:val="00462DC7"/>
    <w:rsid w:val="004632BC"/>
    <w:rsid w:val="00463958"/>
    <w:rsid w:val="004646CA"/>
    <w:rsid w:val="00464F7B"/>
    <w:rsid w:val="00465359"/>
    <w:rsid w:val="004723A3"/>
    <w:rsid w:val="00472C84"/>
    <w:rsid w:val="00473990"/>
    <w:rsid w:val="00473F9E"/>
    <w:rsid w:val="00474B9B"/>
    <w:rsid w:val="00482C8A"/>
    <w:rsid w:val="00484BB7"/>
    <w:rsid w:val="00484D2C"/>
    <w:rsid w:val="00484E12"/>
    <w:rsid w:val="00487D6D"/>
    <w:rsid w:val="00491327"/>
    <w:rsid w:val="0049208F"/>
    <w:rsid w:val="00493B4D"/>
    <w:rsid w:val="004941B7"/>
    <w:rsid w:val="0049596F"/>
    <w:rsid w:val="004959D1"/>
    <w:rsid w:val="004964E1"/>
    <w:rsid w:val="00496584"/>
    <w:rsid w:val="004978ED"/>
    <w:rsid w:val="004A105A"/>
    <w:rsid w:val="004A10C7"/>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E6ACC"/>
    <w:rsid w:val="004F03BC"/>
    <w:rsid w:val="004F168B"/>
    <w:rsid w:val="004F26DB"/>
    <w:rsid w:val="004F31E0"/>
    <w:rsid w:val="004F3E4E"/>
    <w:rsid w:val="004F4E5E"/>
    <w:rsid w:val="004F5600"/>
    <w:rsid w:val="004F56AC"/>
    <w:rsid w:val="004F7147"/>
    <w:rsid w:val="004F73F2"/>
    <w:rsid w:val="00500B71"/>
    <w:rsid w:val="00501A86"/>
    <w:rsid w:val="00502CCD"/>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3A3D"/>
    <w:rsid w:val="00534872"/>
    <w:rsid w:val="005348DE"/>
    <w:rsid w:val="005448C0"/>
    <w:rsid w:val="00545FF0"/>
    <w:rsid w:val="00553274"/>
    <w:rsid w:val="005559A2"/>
    <w:rsid w:val="00557B9E"/>
    <w:rsid w:val="00562D14"/>
    <w:rsid w:val="00562D30"/>
    <w:rsid w:val="0056793C"/>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E0170"/>
    <w:rsid w:val="005E7195"/>
    <w:rsid w:val="005F0BC0"/>
    <w:rsid w:val="005F3C27"/>
    <w:rsid w:val="005F690E"/>
    <w:rsid w:val="00600715"/>
    <w:rsid w:val="00600A66"/>
    <w:rsid w:val="00600E77"/>
    <w:rsid w:val="00601435"/>
    <w:rsid w:val="0060236D"/>
    <w:rsid w:val="006027CC"/>
    <w:rsid w:val="00604690"/>
    <w:rsid w:val="00610E5C"/>
    <w:rsid w:val="00613C98"/>
    <w:rsid w:val="00617A39"/>
    <w:rsid w:val="0062125C"/>
    <w:rsid w:val="00621415"/>
    <w:rsid w:val="00621CBC"/>
    <w:rsid w:val="00623C08"/>
    <w:rsid w:val="0062463E"/>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90775"/>
    <w:rsid w:val="00691453"/>
    <w:rsid w:val="0069229A"/>
    <w:rsid w:val="00697DD7"/>
    <w:rsid w:val="006A0CA0"/>
    <w:rsid w:val="006A1681"/>
    <w:rsid w:val="006A2C44"/>
    <w:rsid w:val="006A3D56"/>
    <w:rsid w:val="006A4E85"/>
    <w:rsid w:val="006B188D"/>
    <w:rsid w:val="006B2B19"/>
    <w:rsid w:val="006B2E18"/>
    <w:rsid w:val="006B5077"/>
    <w:rsid w:val="006B5BF3"/>
    <w:rsid w:val="006C0F80"/>
    <w:rsid w:val="006C5205"/>
    <w:rsid w:val="006C72BD"/>
    <w:rsid w:val="006D1B65"/>
    <w:rsid w:val="006D3B4D"/>
    <w:rsid w:val="006D3E95"/>
    <w:rsid w:val="006D4903"/>
    <w:rsid w:val="006D5C44"/>
    <w:rsid w:val="006E0418"/>
    <w:rsid w:val="006E0676"/>
    <w:rsid w:val="006E114B"/>
    <w:rsid w:val="006E25C0"/>
    <w:rsid w:val="006E2B92"/>
    <w:rsid w:val="006E3064"/>
    <w:rsid w:val="006F445E"/>
    <w:rsid w:val="006F4BD8"/>
    <w:rsid w:val="006F571C"/>
    <w:rsid w:val="006F57C2"/>
    <w:rsid w:val="006F5CF3"/>
    <w:rsid w:val="0070709A"/>
    <w:rsid w:val="00712286"/>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F10AA"/>
    <w:rsid w:val="007F3DF6"/>
    <w:rsid w:val="007F4F98"/>
    <w:rsid w:val="007F5485"/>
    <w:rsid w:val="007F6A21"/>
    <w:rsid w:val="00800D73"/>
    <w:rsid w:val="00801164"/>
    <w:rsid w:val="00802810"/>
    <w:rsid w:val="0080331B"/>
    <w:rsid w:val="00807923"/>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865"/>
    <w:rsid w:val="00871A83"/>
    <w:rsid w:val="00873663"/>
    <w:rsid w:val="00873E44"/>
    <w:rsid w:val="00873E9A"/>
    <w:rsid w:val="00875BFD"/>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42F4"/>
    <w:rsid w:val="008A676E"/>
    <w:rsid w:val="008A6F41"/>
    <w:rsid w:val="008A7F71"/>
    <w:rsid w:val="008B3C61"/>
    <w:rsid w:val="008B571C"/>
    <w:rsid w:val="008B7E13"/>
    <w:rsid w:val="008B7F5A"/>
    <w:rsid w:val="008D2926"/>
    <w:rsid w:val="008D6A9F"/>
    <w:rsid w:val="008E48DB"/>
    <w:rsid w:val="008E7A72"/>
    <w:rsid w:val="008F00A8"/>
    <w:rsid w:val="008F3A61"/>
    <w:rsid w:val="00902C52"/>
    <w:rsid w:val="00902D92"/>
    <w:rsid w:val="00905B7E"/>
    <w:rsid w:val="00906F67"/>
    <w:rsid w:val="0091099A"/>
    <w:rsid w:val="00910E66"/>
    <w:rsid w:val="00913281"/>
    <w:rsid w:val="009134C2"/>
    <w:rsid w:val="00916F05"/>
    <w:rsid w:val="00921850"/>
    <w:rsid w:val="00922A43"/>
    <w:rsid w:val="00924230"/>
    <w:rsid w:val="00925E52"/>
    <w:rsid w:val="009260BF"/>
    <w:rsid w:val="00932823"/>
    <w:rsid w:val="009332C8"/>
    <w:rsid w:val="00933883"/>
    <w:rsid w:val="00933FF2"/>
    <w:rsid w:val="00934768"/>
    <w:rsid w:val="00935624"/>
    <w:rsid w:val="00935712"/>
    <w:rsid w:val="00936311"/>
    <w:rsid w:val="009439B7"/>
    <w:rsid w:val="00944DF7"/>
    <w:rsid w:val="0094748B"/>
    <w:rsid w:val="00955531"/>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0074"/>
    <w:rsid w:val="009A270B"/>
    <w:rsid w:val="009A47D0"/>
    <w:rsid w:val="009B19E3"/>
    <w:rsid w:val="009B1E46"/>
    <w:rsid w:val="009B325F"/>
    <w:rsid w:val="009B3DF3"/>
    <w:rsid w:val="009B690C"/>
    <w:rsid w:val="009C429F"/>
    <w:rsid w:val="009C6FBB"/>
    <w:rsid w:val="009C7295"/>
    <w:rsid w:val="009C7892"/>
    <w:rsid w:val="009C7E2D"/>
    <w:rsid w:val="009D1591"/>
    <w:rsid w:val="009D2257"/>
    <w:rsid w:val="009D2CB7"/>
    <w:rsid w:val="009D7336"/>
    <w:rsid w:val="009D733E"/>
    <w:rsid w:val="009D77BA"/>
    <w:rsid w:val="009E3436"/>
    <w:rsid w:val="009E4071"/>
    <w:rsid w:val="009E5FC3"/>
    <w:rsid w:val="009F0543"/>
    <w:rsid w:val="009F0DE1"/>
    <w:rsid w:val="009F2AC7"/>
    <w:rsid w:val="009F2CD3"/>
    <w:rsid w:val="009F2E82"/>
    <w:rsid w:val="00A01A3C"/>
    <w:rsid w:val="00A03023"/>
    <w:rsid w:val="00A03762"/>
    <w:rsid w:val="00A04462"/>
    <w:rsid w:val="00A061F7"/>
    <w:rsid w:val="00A108AF"/>
    <w:rsid w:val="00A10E4B"/>
    <w:rsid w:val="00A12E06"/>
    <w:rsid w:val="00A13E22"/>
    <w:rsid w:val="00A14E59"/>
    <w:rsid w:val="00A160A2"/>
    <w:rsid w:val="00A176AA"/>
    <w:rsid w:val="00A2072E"/>
    <w:rsid w:val="00A21ABF"/>
    <w:rsid w:val="00A227E8"/>
    <w:rsid w:val="00A24B69"/>
    <w:rsid w:val="00A253F4"/>
    <w:rsid w:val="00A31FF9"/>
    <w:rsid w:val="00A328BC"/>
    <w:rsid w:val="00A35095"/>
    <w:rsid w:val="00A3576C"/>
    <w:rsid w:val="00A36165"/>
    <w:rsid w:val="00A4022F"/>
    <w:rsid w:val="00A43052"/>
    <w:rsid w:val="00A4316A"/>
    <w:rsid w:val="00A45773"/>
    <w:rsid w:val="00A45D8B"/>
    <w:rsid w:val="00A513BA"/>
    <w:rsid w:val="00A54287"/>
    <w:rsid w:val="00A54D9E"/>
    <w:rsid w:val="00A57300"/>
    <w:rsid w:val="00A610B0"/>
    <w:rsid w:val="00A64A40"/>
    <w:rsid w:val="00A64EA9"/>
    <w:rsid w:val="00A709E9"/>
    <w:rsid w:val="00A71651"/>
    <w:rsid w:val="00A739F1"/>
    <w:rsid w:val="00A74D88"/>
    <w:rsid w:val="00A74E24"/>
    <w:rsid w:val="00A75F65"/>
    <w:rsid w:val="00A77E58"/>
    <w:rsid w:val="00A80316"/>
    <w:rsid w:val="00A813A5"/>
    <w:rsid w:val="00A83458"/>
    <w:rsid w:val="00A85017"/>
    <w:rsid w:val="00A862B4"/>
    <w:rsid w:val="00A86404"/>
    <w:rsid w:val="00A87A83"/>
    <w:rsid w:val="00A949CF"/>
    <w:rsid w:val="00AA38CF"/>
    <w:rsid w:val="00AB2A51"/>
    <w:rsid w:val="00AB756A"/>
    <w:rsid w:val="00AC1D45"/>
    <w:rsid w:val="00AD482B"/>
    <w:rsid w:val="00AD6B1C"/>
    <w:rsid w:val="00AE0F51"/>
    <w:rsid w:val="00AE109B"/>
    <w:rsid w:val="00AE1AD2"/>
    <w:rsid w:val="00AE4FD3"/>
    <w:rsid w:val="00AE68A0"/>
    <w:rsid w:val="00AF1143"/>
    <w:rsid w:val="00AF3482"/>
    <w:rsid w:val="00AF4FB7"/>
    <w:rsid w:val="00AF51C5"/>
    <w:rsid w:val="00B00691"/>
    <w:rsid w:val="00B048CD"/>
    <w:rsid w:val="00B06408"/>
    <w:rsid w:val="00B07BBC"/>
    <w:rsid w:val="00B13053"/>
    <w:rsid w:val="00B139F1"/>
    <w:rsid w:val="00B14A24"/>
    <w:rsid w:val="00B2233B"/>
    <w:rsid w:val="00B23A1C"/>
    <w:rsid w:val="00B246EF"/>
    <w:rsid w:val="00B26850"/>
    <w:rsid w:val="00B318C0"/>
    <w:rsid w:val="00B329F8"/>
    <w:rsid w:val="00B32A3F"/>
    <w:rsid w:val="00B34345"/>
    <w:rsid w:val="00B34814"/>
    <w:rsid w:val="00B34E35"/>
    <w:rsid w:val="00B34FAB"/>
    <w:rsid w:val="00B41EC7"/>
    <w:rsid w:val="00B423B4"/>
    <w:rsid w:val="00B43079"/>
    <w:rsid w:val="00B50792"/>
    <w:rsid w:val="00B52D81"/>
    <w:rsid w:val="00B56A85"/>
    <w:rsid w:val="00B60AD4"/>
    <w:rsid w:val="00B60E96"/>
    <w:rsid w:val="00B61B8C"/>
    <w:rsid w:val="00B64074"/>
    <w:rsid w:val="00B64A08"/>
    <w:rsid w:val="00B65B54"/>
    <w:rsid w:val="00B678DE"/>
    <w:rsid w:val="00B75A51"/>
    <w:rsid w:val="00B75C81"/>
    <w:rsid w:val="00B7684D"/>
    <w:rsid w:val="00B77E4C"/>
    <w:rsid w:val="00B834CC"/>
    <w:rsid w:val="00B84027"/>
    <w:rsid w:val="00B84C68"/>
    <w:rsid w:val="00B8690B"/>
    <w:rsid w:val="00B915F3"/>
    <w:rsid w:val="00B92F56"/>
    <w:rsid w:val="00B9464C"/>
    <w:rsid w:val="00B958D6"/>
    <w:rsid w:val="00B97322"/>
    <w:rsid w:val="00BA1129"/>
    <w:rsid w:val="00BA32EA"/>
    <w:rsid w:val="00BA4E72"/>
    <w:rsid w:val="00BA70C6"/>
    <w:rsid w:val="00BA73E7"/>
    <w:rsid w:val="00BB07E2"/>
    <w:rsid w:val="00BB22EA"/>
    <w:rsid w:val="00BB3185"/>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586F"/>
    <w:rsid w:val="00BF6285"/>
    <w:rsid w:val="00BF6CC5"/>
    <w:rsid w:val="00BF72A2"/>
    <w:rsid w:val="00C02412"/>
    <w:rsid w:val="00C035BC"/>
    <w:rsid w:val="00C04211"/>
    <w:rsid w:val="00C05074"/>
    <w:rsid w:val="00C0706F"/>
    <w:rsid w:val="00C0769A"/>
    <w:rsid w:val="00C07DE9"/>
    <w:rsid w:val="00C10731"/>
    <w:rsid w:val="00C11153"/>
    <w:rsid w:val="00C12074"/>
    <w:rsid w:val="00C12B9B"/>
    <w:rsid w:val="00C12C69"/>
    <w:rsid w:val="00C17284"/>
    <w:rsid w:val="00C17303"/>
    <w:rsid w:val="00C2034D"/>
    <w:rsid w:val="00C204BC"/>
    <w:rsid w:val="00C2181B"/>
    <w:rsid w:val="00C21EAE"/>
    <w:rsid w:val="00C24F61"/>
    <w:rsid w:val="00C256D4"/>
    <w:rsid w:val="00C25A1E"/>
    <w:rsid w:val="00C312A6"/>
    <w:rsid w:val="00C31BC5"/>
    <w:rsid w:val="00C34295"/>
    <w:rsid w:val="00C37348"/>
    <w:rsid w:val="00C443F1"/>
    <w:rsid w:val="00C44C6C"/>
    <w:rsid w:val="00C47DAD"/>
    <w:rsid w:val="00C50F37"/>
    <w:rsid w:val="00C6013A"/>
    <w:rsid w:val="00C61438"/>
    <w:rsid w:val="00C626FE"/>
    <w:rsid w:val="00C64F1D"/>
    <w:rsid w:val="00C67022"/>
    <w:rsid w:val="00C67780"/>
    <w:rsid w:val="00C72008"/>
    <w:rsid w:val="00C739C9"/>
    <w:rsid w:val="00C747F4"/>
    <w:rsid w:val="00C774B0"/>
    <w:rsid w:val="00C85307"/>
    <w:rsid w:val="00C90300"/>
    <w:rsid w:val="00C91B56"/>
    <w:rsid w:val="00C942F1"/>
    <w:rsid w:val="00C944BA"/>
    <w:rsid w:val="00C94EE8"/>
    <w:rsid w:val="00C970B9"/>
    <w:rsid w:val="00CA028A"/>
    <w:rsid w:val="00CA2163"/>
    <w:rsid w:val="00CA5707"/>
    <w:rsid w:val="00CB25D7"/>
    <w:rsid w:val="00CB33BC"/>
    <w:rsid w:val="00CB40A1"/>
    <w:rsid w:val="00CB4542"/>
    <w:rsid w:val="00CB6641"/>
    <w:rsid w:val="00CC175E"/>
    <w:rsid w:val="00CC32FC"/>
    <w:rsid w:val="00CC7C0B"/>
    <w:rsid w:val="00CD1475"/>
    <w:rsid w:val="00CD1F5B"/>
    <w:rsid w:val="00CD62ED"/>
    <w:rsid w:val="00CE0C55"/>
    <w:rsid w:val="00CE1589"/>
    <w:rsid w:val="00CE25A2"/>
    <w:rsid w:val="00CE2B5C"/>
    <w:rsid w:val="00CE4F0C"/>
    <w:rsid w:val="00CE57EC"/>
    <w:rsid w:val="00CF19FA"/>
    <w:rsid w:val="00D0333D"/>
    <w:rsid w:val="00D0780D"/>
    <w:rsid w:val="00D113C2"/>
    <w:rsid w:val="00D11AAF"/>
    <w:rsid w:val="00D1626C"/>
    <w:rsid w:val="00D16B9E"/>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1C25"/>
    <w:rsid w:val="00D6336E"/>
    <w:rsid w:val="00D64D1A"/>
    <w:rsid w:val="00D66BEB"/>
    <w:rsid w:val="00D7044E"/>
    <w:rsid w:val="00D70F38"/>
    <w:rsid w:val="00D73931"/>
    <w:rsid w:val="00D7452D"/>
    <w:rsid w:val="00D762AE"/>
    <w:rsid w:val="00D84AE3"/>
    <w:rsid w:val="00D860E9"/>
    <w:rsid w:val="00D86C52"/>
    <w:rsid w:val="00D922B7"/>
    <w:rsid w:val="00D968B2"/>
    <w:rsid w:val="00DA1242"/>
    <w:rsid w:val="00DA2EAD"/>
    <w:rsid w:val="00DA4E31"/>
    <w:rsid w:val="00DB14AB"/>
    <w:rsid w:val="00DB1F31"/>
    <w:rsid w:val="00DB26D4"/>
    <w:rsid w:val="00DB3080"/>
    <w:rsid w:val="00DB3ECB"/>
    <w:rsid w:val="00DB6D6E"/>
    <w:rsid w:val="00DC173E"/>
    <w:rsid w:val="00DC29B5"/>
    <w:rsid w:val="00DC33D4"/>
    <w:rsid w:val="00DC5310"/>
    <w:rsid w:val="00DC57B1"/>
    <w:rsid w:val="00DC6E2C"/>
    <w:rsid w:val="00DD0034"/>
    <w:rsid w:val="00DD01F7"/>
    <w:rsid w:val="00DD1F53"/>
    <w:rsid w:val="00DD314D"/>
    <w:rsid w:val="00DD31A8"/>
    <w:rsid w:val="00DD4E6D"/>
    <w:rsid w:val="00DD5C1E"/>
    <w:rsid w:val="00DE07D3"/>
    <w:rsid w:val="00DE0F4E"/>
    <w:rsid w:val="00DE1792"/>
    <w:rsid w:val="00DE43C4"/>
    <w:rsid w:val="00DE5D92"/>
    <w:rsid w:val="00DE6DD9"/>
    <w:rsid w:val="00DF0694"/>
    <w:rsid w:val="00DF0AEA"/>
    <w:rsid w:val="00DF255D"/>
    <w:rsid w:val="00DF265D"/>
    <w:rsid w:val="00DF28A8"/>
    <w:rsid w:val="00DF4C19"/>
    <w:rsid w:val="00DF76E8"/>
    <w:rsid w:val="00DF7D19"/>
    <w:rsid w:val="00E00927"/>
    <w:rsid w:val="00E06BB4"/>
    <w:rsid w:val="00E07FD3"/>
    <w:rsid w:val="00E11442"/>
    <w:rsid w:val="00E12ADE"/>
    <w:rsid w:val="00E13D11"/>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4099"/>
    <w:rsid w:val="00E85A55"/>
    <w:rsid w:val="00E930D3"/>
    <w:rsid w:val="00E95A3A"/>
    <w:rsid w:val="00E96519"/>
    <w:rsid w:val="00E96ABD"/>
    <w:rsid w:val="00EA251C"/>
    <w:rsid w:val="00EA72D8"/>
    <w:rsid w:val="00EB0B4D"/>
    <w:rsid w:val="00EB2DBA"/>
    <w:rsid w:val="00EB4453"/>
    <w:rsid w:val="00EB5BC4"/>
    <w:rsid w:val="00EB6FBF"/>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11CA"/>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B45"/>
    <w:rsid w:val="00F47CF6"/>
    <w:rsid w:val="00F50125"/>
    <w:rsid w:val="00F50684"/>
    <w:rsid w:val="00F54885"/>
    <w:rsid w:val="00F61AB0"/>
    <w:rsid w:val="00F64779"/>
    <w:rsid w:val="00F65BA6"/>
    <w:rsid w:val="00F7530D"/>
    <w:rsid w:val="00F824C0"/>
    <w:rsid w:val="00F86FBD"/>
    <w:rsid w:val="00F873C4"/>
    <w:rsid w:val="00F90F75"/>
    <w:rsid w:val="00F92CAC"/>
    <w:rsid w:val="00F942E5"/>
    <w:rsid w:val="00F97D7C"/>
    <w:rsid w:val="00F97F9E"/>
    <w:rsid w:val="00FA0425"/>
    <w:rsid w:val="00FA384F"/>
    <w:rsid w:val="00FA40C1"/>
    <w:rsid w:val="00FB195C"/>
    <w:rsid w:val="00FB3AB4"/>
    <w:rsid w:val="00FC2025"/>
    <w:rsid w:val="00FC57EA"/>
    <w:rsid w:val="00FD0275"/>
    <w:rsid w:val="00FD478C"/>
    <w:rsid w:val="00FD55F3"/>
    <w:rsid w:val="00FD730B"/>
    <w:rsid w:val="00FD7A12"/>
    <w:rsid w:val="00FD7CAD"/>
    <w:rsid w:val="00FE3C09"/>
    <w:rsid w:val="00FE45EF"/>
    <w:rsid w:val="00FE5C67"/>
    <w:rsid w:val="00FE71F1"/>
    <w:rsid w:val="00FE779E"/>
    <w:rsid w:val="00FF0F19"/>
    <w:rsid w:val="00FF3198"/>
    <w:rsid w:val="00FF4286"/>
    <w:rsid w:val="00FF59DB"/>
    <w:rsid w:val="03377D51"/>
    <w:rsid w:val="08191D6D"/>
    <w:rsid w:val="0BE627F1"/>
    <w:rsid w:val="0E601EEA"/>
    <w:rsid w:val="12D7558D"/>
    <w:rsid w:val="13490317"/>
    <w:rsid w:val="145E60DD"/>
    <w:rsid w:val="1EAC5B4D"/>
    <w:rsid w:val="1EDD52E2"/>
    <w:rsid w:val="27A35FF9"/>
    <w:rsid w:val="28F86B0F"/>
    <w:rsid w:val="302D2F5A"/>
    <w:rsid w:val="33AF28C2"/>
    <w:rsid w:val="34B715BD"/>
    <w:rsid w:val="38686C22"/>
    <w:rsid w:val="3AF10BF6"/>
    <w:rsid w:val="3BBB7324"/>
    <w:rsid w:val="3CF123C3"/>
    <w:rsid w:val="3D6578F5"/>
    <w:rsid w:val="3EB57282"/>
    <w:rsid w:val="45662472"/>
    <w:rsid w:val="461D3D42"/>
    <w:rsid w:val="4B234021"/>
    <w:rsid w:val="555A02B4"/>
    <w:rsid w:val="58FF2CBD"/>
    <w:rsid w:val="5E97162F"/>
    <w:rsid w:val="60A36C5A"/>
    <w:rsid w:val="614D7A91"/>
    <w:rsid w:val="62E733F9"/>
    <w:rsid w:val="666C2141"/>
    <w:rsid w:val="6AB32723"/>
    <w:rsid w:val="6ADA19D6"/>
    <w:rsid w:val="6EEE5AB2"/>
    <w:rsid w:val="6F7D7002"/>
    <w:rsid w:val="72D56003"/>
    <w:rsid w:val="730E3B0B"/>
    <w:rsid w:val="79F96FE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99" w:semiHidden="0" w:name="Normal Indent" w:locked="1"/>
    <w:lsdException w:uiPriority="99" w:name="footnote text" w:locked="1"/>
    <w:lsdException w:qFormat="1" w:unhideWhenUsed="0" w:uiPriority="99" w:name="annotation text"/>
    <w:lsdException w:unhideWhenUsed="0" w:uiPriority="99"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nhideWhenUsed="0" w:uiPriority="99"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semiHidden="0" w:name="Hyperlink" w:locked="1"/>
    <w:lsdException w:uiPriority="99" w:name="FollowedHyperlink" w:locked="1"/>
    <w:lsdException w:qFormat="1" w:unhideWhenUsed="0" w:uiPriority="0" w:semiHidden="0" w:name="Strong"/>
    <w:lsdException w:qFormat="1" w:unhideWhenUsed="0" w:uiPriority="99"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semiHidden/>
    <w:uiPriority w:val="99"/>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31"/>
    <w:locked/>
    <w:uiPriority w:val="99"/>
    <w:pPr>
      <w:ind w:firstLine="420"/>
    </w:pPr>
    <w:rPr>
      <w:rFonts w:ascii="Calibri" w:hAnsi="Calibri"/>
    </w:rPr>
  </w:style>
  <w:style w:type="paragraph" w:styleId="3">
    <w:name w:val="caption"/>
    <w:basedOn w:val="1"/>
    <w:next w:val="1"/>
    <w:qFormat/>
    <w:uiPriority w:val="99"/>
    <w:rPr>
      <w:rFonts w:ascii="Cambria" w:hAnsi="Cambria" w:eastAsia="黑体"/>
      <w:sz w:val="20"/>
    </w:rPr>
  </w:style>
  <w:style w:type="paragraph" w:styleId="4">
    <w:name w:val="annotation text"/>
    <w:basedOn w:val="1"/>
    <w:link w:val="19"/>
    <w:semiHidden/>
    <w:qFormat/>
    <w:uiPriority w:val="99"/>
    <w:pPr>
      <w:jc w:val="left"/>
    </w:pPr>
    <w:rPr>
      <w:rFonts w:ascii="Calibri" w:hAnsi="Calibri"/>
    </w:rPr>
  </w:style>
  <w:style w:type="paragraph" w:styleId="5">
    <w:name w:val="Body Text Indent"/>
    <w:basedOn w:val="1"/>
    <w:link w:val="20"/>
    <w:qFormat/>
    <w:locked/>
    <w:uiPriority w:val="99"/>
    <w:pPr>
      <w:tabs>
        <w:tab w:val="left" w:pos="900"/>
      </w:tabs>
      <w:adjustRightInd w:val="0"/>
      <w:spacing w:line="360" w:lineRule="auto"/>
      <w:ind w:firstLine="510"/>
    </w:pPr>
    <w:rPr>
      <w:kern w:val="0"/>
      <w:sz w:val="20"/>
    </w:rPr>
  </w:style>
  <w:style w:type="paragraph" w:styleId="6">
    <w:name w:val="Plain Text"/>
    <w:basedOn w:val="1"/>
    <w:link w:val="27"/>
    <w:qFormat/>
    <w:uiPriority w:val="99"/>
    <w:rPr>
      <w:rFonts w:ascii="宋体" w:hAnsi="Courier New"/>
      <w:kern w:val="0"/>
    </w:rPr>
  </w:style>
  <w:style w:type="paragraph" w:styleId="7">
    <w:name w:val="Balloon Text"/>
    <w:basedOn w:val="1"/>
    <w:link w:val="22"/>
    <w:semiHidden/>
    <w:qFormat/>
    <w:uiPriority w:val="99"/>
    <w:rPr>
      <w:sz w:val="18"/>
    </w:rPr>
  </w:style>
  <w:style w:type="paragraph" w:styleId="8">
    <w:name w:val="footer"/>
    <w:basedOn w:val="1"/>
    <w:link w:val="23"/>
    <w:qFormat/>
    <w:uiPriority w:val="99"/>
    <w:pPr>
      <w:tabs>
        <w:tab w:val="center" w:pos="4153"/>
        <w:tab w:val="right" w:pos="8306"/>
      </w:tabs>
      <w:snapToGrid w:val="0"/>
      <w:jc w:val="left"/>
    </w:pPr>
    <w:rPr>
      <w:kern w:val="0"/>
      <w:sz w:val="18"/>
    </w:rPr>
  </w:style>
  <w:style w:type="paragraph" w:styleId="9">
    <w:name w:val="header"/>
    <w:basedOn w:val="1"/>
    <w:link w:val="24"/>
    <w:semiHidden/>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5"/>
    <w:semiHidden/>
    <w:uiPriority w:val="99"/>
    <w:rPr>
      <w:rFonts w:ascii="Times New Roman" w:hAnsi="Times New Roman"/>
      <w:b/>
      <w:sz w:val="20"/>
    </w:rPr>
  </w:style>
  <w:style w:type="table" w:styleId="13">
    <w:name w:val="Table Grid"/>
    <w:basedOn w:val="12"/>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5">
    <w:name w:val="page number"/>
    <w:basedOn w:val="14"/>
    <w:uiPriority w:val="99"/>
    <w:rPr>
      <w:rFonts w:cs="Times New Roman"/>
    </w:rPr>
  </w:style>
  <w:style w:type="character" w:styleId="16">
    <w:name w:val="Emphasis"/>
    <w:basedOn w:val="14"/>
    <w:qFormat/>
    <w:uiPriority w:val="99"/>
    <w:rPr>
      <w:rFonts w:cs="Times New Roman"/>
      <w:i/>
    </w:rPr>
  </w:style>
  <w:style w:type="character" w:styleId="17">
    <w:name w:val="Hyperlink"/>
    <w:basedOn w:val="14"/>
    <w:locked/>
    <w:uiPriority w:val="99"/>
    <w:rPr>
      <w:rFonts w:cs="Times New Roman"/>
      <w:color w:val="0000FF"/>
      <w:u w:val="single"/>
    </w:rPr>
  </w:style>
  <w:style w:type="character" w:styleId="18">
    <w:name w:val="annotation reference"/>
    <w:basedOn w:val="14"/>
    <w:semiHidden/>
    <w:uiPriority w:val="99"/>
    <w:rPr>
      <w:rFonts w:cs="Times New Roman"/>
      <w:sz w:val="21"/>
    </w:rPr>
  </w:style>
  <w:style w:type="character" w:customStyle="1" w:styleId="19">
    <w:name w:val="Comment Text Char"/>
    <w:basedOn w:val="14"/>
    <w:link w:val="4"/>
    <w:semiHidden/>
    <w:locked/>
    <w:uiPriority w:val="99"/>
    <w:rPr>
      <w:rFonts w:eastAsia="宋体" w:cs="Times New Roman"/>
      <w:kern w:val="2"/>
      <w:sz w:val="21"/>
      <w:lang w:val="en-US" w:eastAsia="zh-CN"/>
    </w:rPr>
  </w:style>
  <w:style w:type="character" w:customStyle="1" w:styleId="20">
    <w:name w:val="Body Text Indent Char"/>
    <w:basedOn w:val="14"/>
    <w:link w:val="5"/>
    <w:semiHidden/>
    <w:qFormat/>
    <w:locked/>
    <w:uiPriority w:val="99"/>
    <w:rPr>
      <w:rFonts w:ascii="Times New Roman" w:hAnsi="Times New Roman" w:cs="Times New Roman"/>
      <w:sz w:val="20"/>
    </w:rPr>
  </w:style>
  <w:style w:type="character" w:customStyle="1" w:styleId="21">
    <w:name w:val="Plain Text Char"/>
    <w:basedOn w:val="14"/>
    <w:link w:val="6"/>
    <w:qFormat/>
    <w:locked/>
    <w:uiPriority w:val="99"/>
    <w:rPr>
      <w:rFonts w:ascii="宋体" w:hAnsi="Courier New" w:eastAsia="宋体" w:cs="Times New Roman"/>
      <w:sz w:val="21"/>
    </w:rPr>
  </w:style>
  <w:style w:type="character" w:customStyle="1" w:styleId="22">
    <w:name w:val="Balloon Text Char"/>
    <w:basedOn w:val="14"/>
    <w:link w:val="7"/>
    <w:semiHidden/>
    <w:qFormat/>
    <w:locked/>
    <w:uiPriority w:val="99"/>
    <w:rPr>
      <w:rFonts w:ascii="Times New Roman" w:hAnsi="Times New Roman" w:cs="Times New Roman"/>
      <w:kern w:val="2"/>
      <w:sz w:val="18"/>
    </w:rPr>
  </w:style>
  <w:style w:type="character" w:customStyle="1" w:styleId="23">
    <w:name w:val="Footer Char"/>
    <w:basedOn w:val="14"/>
    <w:link w:val="8"/>
    <w:locked/>
    <w:uiPriority w:val="99"/>
    <w:rPr>
      <w:rFonts w:ascii="Times New Roman" w:hAnsi="Times New Roman" w:eastAsia="宋体" w:cs="Times New Roman"/>
      <w:sz w:val="18"/>
    </w:rPr>
  </w:style>
  <w:style w:type="character" w:customStyle="1" w:styleId="24">
    <w:name w:val="Header Char"/>
    <w:basedOn w:val="14"/>
    <w:link w:val="9"/>
    <w:semiHidden/>
    <w:qFormat/>
    <w:locked/>
    <w:uiPriority w:val="99"/>
    <w:rPr>
      <w:rFonts w:ascii="Times New Roman" w:hAnsi="Times New Roman" w:eastAsia="宋体" w:cs="Times New Roman"/>
      <w:sz w:val="18"/>
    </w:rPr>
  </w:style>
  <w:style w:type="character" w:customStyle="1" w:styleId="25">
    <w:name w:val="Comment Subject Char"/>
    <w:basedOn w:val="19"/>
    <w:link w:val="11"/>
    <w:semiHidden/>
    <w:qFormat/>
    <w:locked/>
    <w:uiPriority w:val="99"/>
    <w:rPr>
      <w:rFonts w:ascii="Times New Roman" w:hAnsi="Times New Roman"/>
      <w:b/>
      <w:sz w:val="20"/>
    </w:rPr>
  </w:style>
  <w:style w:type="character" w:customStyle="1" w:styleId="26">
    <w:name w:val="Plain Text Char1"/>
    <w:semiHidden/>
    <w:qFormat/>
    <w:locked/>
    <w:uiPriority w:val="99"/>
    <w:rPr>
      <w:rFonts w:ascii="宋体" w:hAnsi="Courier New"/>
      <w:sz w:val="21"/>
    </w:rPr>
  </w:style>
  <w:style w:type="character" w:customStyle="1" w:styleId="27">
    <w:name w:val="Plain Text Char2"/>
    <w:link w:val="6"/>
    <w:semiHidden/>
    <w:qFormat/>
    <w:locked/>
    <w:uiPriority w:val="99"/>
    <w:rPr>
      <w:rFonts w:ascii="宋体" w:hAnsi="Courier New" w:eastAsia="宋体"/>
      <w:sz w:val="21"/>
    </w:rPr>
  </w:style>
  <w:style w:type="paragraph" w:styleId="28">
    <w:name w:val="List Paragraph"/>
    <w:basedOn w:val="1"/>
    <w:qFormat/>
    <w:uiPriority w:val="99"/>
    <w:pPr>
      <w:ind w:firstLine="420" w:firstLineChars="200"/>
    </w:pPr>
  </w:style>
  <w:style w:type="character" w:customStyle="1" w:styleId="29">
    <w:name w:val="纯文本 Char"/>
    <w:qFormat/>
    <w:uiPriority w:val="99"/>
    <w:rPr>
      <w:rFonts w:ascii="宋体" w:hAnsi="Courier New" w:eastAsia="宋体"/>
      <w:kern w:val="2"/>
      <w:sz w:val="21"/>
      <w:lang w:val="en-US" w:eastAsia="zh-CN"/>
    </w:rPr>
  </w:style>
  <w:style w:type="character" w:customStyle="1" w:styleId="30">
    <w:name w:val="Char Char3"/>
    <w:qFormat/>
    <w:uiPriority w:val="99"/>
    <w:rPr>
      <w:rFonts w:ascii="宋体" w:hAnsi="Courier New" w:eastAsia="宋体"/>
      <w:kern w:val="2"/>
      <w:sz w:val="21"/>
      <w:lang w:val="en-US" w:eastAsia="zh-CN"/>
    </w:rPr>
  </w:style>
  <w:style w:type="character" w:customStyle="1" w:styleId="31">
    <w:name w:val="Normal Indent Char"/>
    <w:link w:val="2"/>
    <w:qFormat/>
    <w:locked/>
    <w:uiPriority w:val="99"/>
    <w:rPr>
      <w:kern w:val="2"/>
      <w:sz w:val="21"/>
    </w:rPr>
  </w:style>
  <w:style w:type="paragraph" w:customStyle="1" w:styleId="32">
    <w:name w:val="Default"/>
    <w:qFormat/>
    <w:uiPriority w:val="99"/>
    <w:pPr>
      <w:widowControl w:val="0"/>
      <w:autoSpaceDE w:val="0"/>
      <w:autoSpaceDN w:val="0"/>
      <w:adjustRightInd w:val="0"/>
    </w:pPr>
    <w:rPr>
      <w:rFonts w:ascii="宋体" w:hAnsi="Calibri"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emf"/><Relationship Id="rId7" Type="http://schemas.openxmlformats.org/officeDocument/2006/relationships/oleObject" Target="embeddings/oleObject1.bin"/><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33</Pages>
  <Words>3172</Words>
  <Characters>18085</Characters>
  <Lines>0</Lines>
  <Paragraphs>0</Paragraphs>
  <TotalTime>0</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2019-07-15T07:47:00Z</dcterms:created>
  <dc:creator>fan</dc:creator>
  <cp:lastModifiedBy>王树乔</cp:lastModifiedBy>
  <cp:lastPrinted>2019-07-17T07:43:00Z</cp:lastPrinted>
  <dcterms:modified xsi:type="dcterms:W3CDTF">2019-07-17T09:30:59Z</dcterms:modified>
  <dc:title>淮阴工学院</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