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distribute"/>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spacing w:line="480" w:lineRule="auto"/>
        <w:jc w:val="center"/>
        <w:rPr>
          <w:rFonts w:ascii="黑体" w:hAnsi="黑体" w:eastAsia="黑体"/>
          <w:color w:val="000000"/>
          <w:kern w:val="0"/>
          <w:sz w:val="36"/>
          <w:szCs w:val="36"/>
        </w:rPr>
      </w:pPr>
      <w:r>
        <w:rPr>
          <w:rFonts w:hint="eastAsia" w:ascii="黑体" w:hAnsi="黑体" w:eastAsia="黑体"/>
          <w:color w:val="000000"/>
          <w:kern w:val="0"/>
          <w:sz w:val="36"/>
          <w:szCs w:val="36"/>
        </w:rPr>
        <w:t>汽车事故数据读取工具和</w:t>
      </w:r>
      <w:r>
        <w:rPr>
          <w:rFonts w:ascii="黑体" w:hAnsi="黑体" w:eastAsia="黑体"/>
          <w:color w:val="000000"/>
          <w:kern w:val="0"/>
          <w:sz w:val="36"/>
          <w:szCs w:val="36"/>
        </w:rPr>
        <w:t>汽车</w:t>
      </w:r>
      <w:r>
        <w:rPr>
          <w:rFonts w:hint="eastAsia" w:ascii="黑体" w:hAnsi="黑体" w:eastAsia="黑体"/>
          <w:color w:val="000000"/>
          <w:kern w:val="0"/>
          <w:sz w:val="36"/>
          <w:szCs w:val="36"/>
        </w:rPr>
        <w:t>故障</w:t>
      </w:r>
      <w:r>
        <w:rPr>
          <w:rFonts w:ascii="黑体" w:hAnsi="黑体" w:eastAsia="黑体"/>
          <w:color w:val="000000"/>
          <w:kern w:val="0"/>
          <w:sz w:val="36"/>
          <w:szCs w:val="36"/>
        </w:rPr>
        <w:t>诊断</w:t>
      </w:r>
      <w:r>
        <w:rPr>
          <w:rFonts w:hint="eastAsia" w:ascii="黑体" w:hAnsi="黑体" w:eastAsia="黑体"/>
          <w:color w:val="000000"/>
          <w:kern w:val="0"/>
          <w:sz w:val="36"/>
          <w:szCs w:val="36"/>
        </w:rPr>
        <w:t>仪采购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6"/>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hint="default" w:ascii="宋体" w:eastAsia="宋体"/>
          <w:snapToGrid w:val="0"/>
          <w:color w:val="000000"/>
          <w:sz w:val="24"/>
          <w:szCs w:val="24"/>
          <w:lang w:val="en-US" w:eastAsia="zh-CN"/>
        </w:rPr>
      </w:pPr>
      <w:r>
        <w:rPr>
          <w:rFonts w:hint="eastAsia" w:ascii="宋体" w:hAnsi="宋体"/>
          <w:snapToGrid w:val="0"/>
          <w:color w:val="000000"/>
          <w:sz w:val="24"/>
          <w:szCs w:val="24"/>
        </w:rPr>
        <w:t>项目编号：</w:t>
      </w:r>
      <w:r>
        <w:rPr>
          <w:rFonts w:ascii="宋体" w:hAnsi="宋体"/>
          <w:snapToGrid w:val="0"/>
          <w:color w:val="000000"/>
          <w:sz w:val="24"/>
          <w:szCs w:val="24"/>
        </w:rPr>
        <w:t>HGZB</w:t>
      </w:r>
      <w:r>
        <w:rPr>
          <w:rFonts w:hint="eastAsia" w:ascii="宋体" w:hAnsi="宋体"/>
          <w:snapToGrid w:val="0"/>
          <w:color w:val="000000"/>
          <w:sz w:val="24"/>
          <w:szCs w:val="24"/>
        </w:rPr>
        <w:t>201901</w:t>
      </w:r>
      <w:r>
        <w:rPr>
          <w:rFonts w:hint="eastAsia" w:ascii="宋体" w:hAnsi="宋体"/>
          <w:snapToGrid w:val="0"/>
          <w:color w:val="000000"/>
          <w:sz w:val="24"/>
          <w:szCs w:val="24"/>
          <w:lang w:val="en-US" w:eastAsia="zh-CN"/>
        </w:rPr>
        <w:t>02</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w:t>
      </w:r>
      <w:r>
        <w:rPr>
          <w:rFonts w:ascii="黑体" w:hAnsi="黑体" w:eastAsia="黑体"/>
          <w:b/>
          <w:color w:val="000000"/>
          <w:sz w:val="30"/>
          <w:szCs w:val="30"/>
        </w:rPr>
        <w:t xml:space="preserve">  </w:t>
      </w:r>
      <w:r>
        <w:rPr>
          <w:rFonts w:hint="eastAsia" w:ascii="黑体" w:hAnsi="黑体" w:eastAsia="黑体"/>
          <w:b/>
          <w:color w:val="000000"/>
          <w:sz w:val="30"/>
          <w:szCs w:val="30"/>
        </w:rPr>
        <w:t>阴</w:t>
      </w:r>
      <w:r>
        <w:rPr>
          <w:rFonts w:ascii="黑体" w:hAnsi="黑体" w:eastAsia="黑体"/>
          <w:b/>
          <w:color w:val="000000"/>
          <w:sz w:val="30"/>
          <w:szCs w:val="30"/>
        </w:rPr>
        <w:t xml:space="preserve">  </w:t>
      </w:r>
      <w:r>
        <w:rPr>
          <w:rFonts w:hint="eastAsia" w:ascii="黑体" w:hAnsi="黑体" w:eastAsia="黑体"/>
          <w:b/>
          <w:color w:val="000000"/>
          <w:sz w:val="30"/>
          <w:szCs w:val="30"/>
        </w:rPr>
        <w:t>工</w:t>
      </w:r>
      <w:r>
        <w:rPr>
          <w:rFonts w:ascii="黑体" w:hAnsi="黑体" w:eastAsia="黑体"/>
          <w:b/>
          <w:color w:val="000000"/>
          <w:sz w:val="30"/>
          <w:szCs w:val="30"/>
        </w:rPr>
        <w:t xml:space="preserve">  </w:t>
      </w:r>
      <w:r>
        <w:rPr>
          <w:rFonts w:hint="eastAsia" w:ascii="黑体" w:hAnsi="黑体" w:eastAsia="黑体"/>
          <w:b/>
          <w:color w:val="000000"/>
          <w:sz w:val="30"/>
          <w:szCs w:val="30"/>
        </w:rPr>
        <w:t>学</w:t>
      </w:r>
      <w:r>
        <w:rPr>
          <w:rFonts w:ascii="黑体" w:hAnsi="黑体" w:eastAsia="黑体"/>
          <w:b/>
          <w:color w:val="000000"/>
          <w:sz w:val="30"/>
          <w:szCs w:val="30"/>
        </w:rPr>
        <w:t xml:space="preserve">  </w:t>
      </w:r>
      <w:r>
        <w:rPr>
          <w:rFonts w:hint="eastAsia" w:ascii="黑体" w:hAnsi="黑体" w:eastAsia="黑体"/>
          <w:b/>
          <w:color w:val="000000"/>
          <w:sz w:val="30"/>
          <w:szCs w:val="30"/>
        </w:rPr>
        <w:t>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2019</w:t>
      </w:r>
      <w:r>
        <w:rPr>
          <w:rFonts w:hint="eastAsia" w:ascii="黑体" w:hAnsi="黑体" w:eastAsia="黑体"/>
          <w:b/>
          <w:color w:val="000000"/>
          <w:sz w:val="30"/>
          <w:szCs w:val="30"/>
        </w:rPr>
        <w:t>年</w:t>
      </w:r>
      <w:r>
        <w:rPr>
          <w:rFonts w:ascii="黑体" w:hAnsi="黑体" w:eastAsia="黑体"/>
          <w:b/>
          <w:color w:val="000000"/>
          <w:sz w:val="30"/>
          <w:szCs w:val="30"/>
        </w:rPr>
        <w:t xml:space="preserve"> 11</w:t>
      </w:r>
      <w:r>
        <w:rPr>
          <w:rFonts w:hint="eastAsia" w:ascii="黑体" w:hAnsi="黑体" w:eastAsia="黑体"/>
          <w:b/>
          <w:color w:val="000000"/>
          <w:sz w:val="30"/>
          <w:szCs w:val="30"/>
        </w:rPr>
        <w:t>月</w:t>
      </w:r>
      <w:r>
        <w:rPr>
          <w:rFonts w:ascii="黑体" w:hAnsi="黑体" w:eastAsia="黑体"/>
          <w:b/>
          <w:color w:val="000000"/>
          <w:sz w:val="30"/>
          <w:szCs w:val="30"/>
        </w:rPr>
        <w:t xml:space="preserve"> 1</w:t>
      </w:r>
      <w:r>
        <w:rPr>
          <w:rFonts w:hint="eastAsia" w:ascii="黑体" w:hAnsi="黑体" w:eastAsia="黑体"/>
          <w:b/>
          <w:color w:val="000000"/>
          <w:sz w:val="30"/>
          <w:szCs w:val="30"/>
        </w:rPr>
        <w:t>5日</w:t>
      </w: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3</w:t>
      </w:r>
    </w:p>
    <w:p>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……………………………………………15</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……………………………………………18</w:t>
      </w:r>
    </w:p>
    <w:p>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……………………………………………20</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项目名称：标段1：汽车事故数据读取工具采购；标段2：</w:t>
      </w:r>
      <w:r>
        <w:rPr>
          <w:color w:val="000000"/>
          <w:sz w:val="24"/>
          <w:szCs w:val="24"/>
        </w:rPr>
        <w:t>汽车</w:t>
      </w:r>
      <w:r>
        <w:rPr>
          <w:rFonts w:hint="eastAsia"/>
          <w:color w:val="000000"/>
          <w:sz w:val="24"/>
          <w:szCs w:val="24"/>
        </w:rPr>
        <w:t>故障</w:t>
      </w:r>
      <w:r>
        <w:rPr>
          <w:color w:val="000000"/>
          <w:sz w:val="24"/>
          <w:szCs w:val="24"/>
        </w:rPr>
        <w:t>诊断</w:t>
      </w:r>
      <w:r>
        <w:rPr>
          <w:rFonts w:hint="eastAsia"/>
          <w:color w:val="000000"/>
          <w:sz w:val="24"/>
          <w:szCs w:val="24"/>
        </w:rPr>
        <w:t>仪采购。</w:t>
      </w:r>
    </w:p>
    <w:p>
      <w:pPr>
        <w:spacing w:line="440" w:lineRule="exact"/>
        <w:ind w:firstLine="480" w:firstLineChars="200"/>
        <w:rPr>
          <w:color w:val="000000"/>
          <w:sz w:val="24"/>
          <w:szCs w:val="24"/>
        </w:rPr>
      </w:pPr>
      <w:r>
        <w:rPr>
          <w:rFonts w:hint="eastAsia"/>
          <w:color w:val="000000"/>
          <w:sz w:val="24"/>
          <w:szCs w:val="24"/>
        </w:rPr>
        <w:t>项目最高限价：标段1：1</w:t>
      </w:r>
      <w:r>
        <w:rPr>
          <w:color w:val="000000"/>
          <w:sz w:val="24"/>
          <w:szCs w:val="24"/>
        </w:rPr>
        <w:t>5.9</w:t>
      </w:r>
      <w:r>
        <w:rPr>
          <w:rFonts w:hint="eastAsia"/>
          <w:color w:val="000000"/>
          <w:sz w:val="24"/>
          <w:szCs w:val="24"/>
        </w:rPr>
        <w:t>万元；标段2：1</w:t>
      </w:r>
      <w:r>
        <w:rPr>
          <w:color w:val="000000"/>
          <w:sz w:val="24"/>
          <w:szCs w:val="24"/>
        </w:rPr>
        <w:t>.6</w:t>
      </w:r>
      <w:r>
        <w:rPr>
          <w:rFonts w:hint="eastAsia"/>
          <w:color w:val="000000"/>
          <w:sz w:val="24"/>
          <w:szCs w:val="24"/>
        </w:rPr>
        <w:t>万元。</w:t>
      </w:r>
    </w:p>
    <w:p>
      <w:pPr>
        <w:widowControl/>
        <w:spacing w:line="440" w:lineRule="exact"/>
        <w:ind w:firstLine="480" w:firstLineChars="200"/>
        <w:rPr>
          <w:color w:val="FF0000"/>
          <w:sz w:val="24"/>
          <w:szCs w:val="24"/>
        </w:rPr>
      </w:pPr>
      <w:r>
        <w:rPr>
          <w:rFonts w:hint="eastAsia"/>
          <w:sz w:val="24"/>
          <w:szCs w:val="24"/>
        </w:rPr>
        <w:t>项目简要说明：采购</w:t>
      </w:r>
      <w:r>
        <w:rPr>
          <w:rFonts w:hint="eastAsia"/>
          <w:color w:val="000000"/>
          <w:sz w:val="24"/>
          <w:szCs w:val="24"/>
        </w:rPr>
        <w:t>汽车事故数据读取工具</w:t>
      </w:r>
      <w:r>
        <w:rPr>
          <w:rFonts w:hint="eastAsia"/>
          <w:sz w:val="24"/>
          <w:szCs w:val="24"/>
        </w:rPr>
        <w:t>一台，</w:t>
      </w:r>
      <w:r>
        <w:rPr>
          <w:color w:val="000000"/>
          <w:sz w:val="24"/>
          <w:szCs w:val="24"/>
        </w:rPr>
        <w:t>汽车</w:t>
      </w:r>
      <w:r>
        <w:rPr>
          <w:rFonts w:hint="eastAsia"/>
          <w:color w:val="000000"/>
          <w:sz w:val="24"/>
          <w:szCs w:val="24"/>
        </w:rPr>
        <w:t>故障</w:t>
      </w:r>
      <w:r>
        <w:rPr>
          <w:color w:val="000000"/>
          <w:sz w:val="24"/>
          <w:szCs w:val="24"/>
        </w:rPr>
        <w:t>诊断</w:t>
      </w:r>
      <w:r>
        <w:rPr>
          <w:rFonts w:hint="eastAsia"/>
          <w:color w:val="000000"/>
          <w:sz w:val="24"/>
          <w:szCs w:val="24"/>
        </w:rPr>
        <w:t>仪二台</w:t>
      </w:r>
      <w:r>
        <w:rPr>
          <w:rFonts w:hint="eastAsia"/>
          <w:sz w:val="24"/>
          <w:szCs w:val="24"/>
        </w:rPr>
        <w:t>。可两个标段都投，也可投其中一个标段，两个标段须分别独立封装。具体要求见第二章。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spacing w:line="440" w:lineRule="exact"/>
        <w:ind w:firstLine="480" w:firstLineChars="200"/>
        <w:rPr>
          <w:bCs/>
          <w:color w:val="000000"/>
          <w:spacing w:val="15"/>
          <w:kern w:val="0"/>
          <w:sz w:val="24"/>
          <w:szCs w:val="24"/>
        </w:rPr>
      </w:pPr>
      <w:r>
        <w:rPr>
          <w:color w:val="000000"/>
          <w:kern w:val="0"/>
          <w:sz w:val="24"/>
          <w:szCs w:val="24"/>
        </w:rPr>
        <w:t>3</w:t>
      </w:r>
      <w:r>
        <w:rPr>
          <w:rFonts w:hint="eastAsia"/>
          <w:color w:val="000000"/>
          <w:sz w:val="24"/>
          <w:szCs w:val="24"/>
        </w:rPr>
        <w:t>参加本次投标的投标人若非生产企业，标段1须具有产品经销商</w:t>
      </w:r>
      <w:r>
        <w:rPr>
          <w:rFonts w:hint="eastAsia"/>
          <w:bCs/>
          <w:color w:val="000000"/>
          <w:spacing w:val="15"/>
          <w:kern w:val="0"/>
          <w:sz w:val="24"/>
          <w:szCs w:val="24"/>
        </w:rPr>
        <w:t>或代理商资格（生产商对项目授权视同满足要求）；</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7</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7.1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wordWrap w:val="0"/>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（http://www.hyit.edu.cn/index/tzgg.htm</w:t>
      </w:r>
      <w:r>
        <w:rPr>
          <w:rFonts w:ascii="宋体" w:hAnsi="宋体" w:cs="仿宋"/>
          <w:color w:val="000000"/>
          <w:szCs w:val="21"/>
        </w:rPr>
        <w:t>/</w:t>
      </w:r>
      <w:r>
        <w:rPr>
          <w:rFonts w:hint="eastAsia" w:ascii="宋体" w:hAnsi="宋体" w:cs="仿宋"/>
          <w:color w:val="000000"/>
          <w:szCs w:val="21"/>
        </w:rPr>
        <w:t>或</w:t>
      </w:r>
      <w:r>
        <w:rPr>
          <w:color w:val="000000"/>
          <w:szCs w:val="21"/>
        </w:rPr>
        <w:t xml:space="preserve"> </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投标人无需提前现场报名，可直接在网站下载招标文件电子文档。标段1招标文件资料费为</w:t>
      </w:r>
      <w:r>
        <w:rPr>
          <w:rFonts w:ascii="宋体" w:hAnsi="宋体" w:cs="仿宋"/>
          <w:color w:val="000000"/>
          <w:sz w:val="24"/>
          <w:szCs w:val="24"/>
        </w:rPr>
        <w:t>100</w:t>
      </w:r>
      <w:r>
        <w:rPr>
          <w:rFonts w:hint="eastAsia" w:ascii="宋体" w:hAnsi="宋体" w:cs="仿宋"/>
          <w:color w:val="000000"/>
          <w:sz w:val="24"/>
          <w:szCs w:val="24"/>
        </w:rPr>
        <w:t>元，标段2招标文件资料费不收费。投标人在投标前采用汇款方式（账号同投标保证金账号）或到淮阴工学院财务处刷卡方式交纳该费用（淮安市枚乘东路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color w:val="000000"/>
          <w:spacing w:val="15"/>
          <w:kern w:val="0"/>
          <w:sz w:val="24"/>
          <w:szCs w:val="24"/>
        </w:rPr>
        <w:t>本项目投标保证金金额标段1为</w:t>
      </w:r>
      <w:r>
        <w:rPr>
          <w:color w:val="000000"/>
          <w:spacing w:val="15"/>
          <w:kern w:val="0"/>
          <w:sz w:val="24"/>
          <w:szCs w:val="24"/>
        </w:rPr>
        <w:t>3000</w:t>
      </w:r>
      <w:r>
        <w:rPr>
          <w:rFonts w:hint="eastAsia"/>
          <w:color w:val="000000"/>
          <w:spacing w:val="15"/>
          <w:kern w:val="0"/>
          <w:sz w:val="24"/>
          <w:szCs w:val="24"/>
        </w:rPr>
        <w:t>元，标段2不收保证金。投标人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标段1非生产商投标须提供经销商、代理商资格证明材料（签订合同前提供）。</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spacing w:line="440" w:lineRule="exact"/>
        <w:ind w:firstLine="480" w:firstLineChars="200"/>
        <w:rPr>
          <w:rFonts w:ascii="宋体"/>
          <w:color w:val="000000"/>
          <w:sz w:val="24"/>
          <w:szCs w:val="24"/>
        </w:rPr>
      </w:pPr>
      <w:r>
        <w:rPr>
          <w:rFonts w:ascii="宋体" w:hAnsi="宋体"/>
          <w:color w:val="000000"/>
          <w:sz w:val="24"/>
          <w:szCs w:val="24"/>
        </w:rPr>
        <w:t>6.1</w:t>
      </w:r>
      <w:r>
        <w:rPr>
          <w:rFonts w:hint="eastAsia" w:ascii="宋体" w:hAnsi="宋体"/>
          <w:color w:val="000000"/>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rFonts w:ascii="宋体"/>
          <w:color w:val="000000"/>
          <w:sz w:val="24"/>
          <w:szCs w:val="24"/>
        </w:rPr>
      </w:pPr>
      <w:r>
        <w:rPr>
          <w:rFonts w:ascii="宋体" w:hAnsi="宋体"/>
          <w:color w:val="000000"/>
          <w:sz w:val="24"/>
          <w:szCs w:val="24"/>
        </w:rPr>
        <w:t>6.2</w:t>
      </w:r>
      <w:r>
        <w:rPr>
          <w:rFonts w:hint="eastAsia" w:ascii="宋体" w:hAnsi="宋体"/>
          <w:color w:val="000000"/>
          <w:sz w:val="24"/>
          <w:szCs w:val="24"/>
        </w:rPr>
        <w:t>卖方对买方操作、维护人员培训方案（包括培训人数、时间、地点、目的、内容、培训程度等）；</w:t>
      </w:r>
    </w:p>
    <w:p>
      <w:pPr>
        <w:spacing w:line="440" w:lineRule="exact"/>
        <w:ind w:firstLine="480" w:firstLineChars="200"/>
        <w:rPr>
          <w:rFonts w:ascii="宋体"/>
          <w:color w:val="000000"/>
          <w:sz w:val="24"/>
          <w:szCs w:val="24"/>
        </w:rPr>
      </w:pPr>
      <w:r>
        <w:rPr>
          <w:rFonts w:ascii="宋体" w:hAnsi="宋体"/>
          <w:color w:val="000000"/>
          <w:sz w:val="24"/>
          <w:szCs w:val="24"/>
        </w:rPr>
        <w:t xml:space="preserve">6.3 </w:t>
      </w:r>
      <w:r>
        <w:rPr>
          <w:rFonts w:hint="eastAsia" w:ascii="宋体" w:hAnsi="宋体"/>
          <w:color w:val="000000"/>
          <w:sz w:val="24"/>
          <w:szCs w:val="24"/>
        </w:rPr>
        <w:t>投标货物交货时可提供的技术资料清单。</w:t>
      </w:r>
    </w:p>
    <w:p>
      <w:pPr>
        <w:widowControl/>
        <w:shd w:val="clear" w:color="auto" w:fill="FFFFFF"/>
        <w:spacing w:line="440" w:lineRule="exact"/>
        <w:ind w:firstLine="440"/>
        <w:jc w:val="left"/>
        <w:rPr>
          <w:rFonts w:ascii="宋体" w:hAnsi="宋体" w:cs="宋体"/>
          <w:color w:val="000000"/>
          <w:kern w:val="0"/>
          <w:sz w:val="24"/>
          <w:szCs w:val="24"/>
        </w:rPr>
      </w:pPr>
      <w:r>
        <w:rPr>
          <w:rFonts w:ascii="宋体" w:hAnsi="宋体" w:cs="宋体"/>
          <w:color w:val="000000"/>
          <w:kern w:val="0"/>
          <w:sz w:val="24"/>
          <w:szCs w:val="24"/>
        </w:rPr>
        <w:t>7.</w:t>
      </w:r>
      <w:r>
        <w:rPr>
          <w:rFonts w:hint="eastAsia" w:ascii="宋体" w:hAnsi="宋体" w:cs="仿宋"/>
          <w:color w:val="000000"/>
          <w:sz w:val="24"/>
          <w:szCs w:val="24"/>
        </w:rPr>
        <w:t xml:space="preserve"> </w:t>
      </w:r>
      <w:r>
        <w:rPr>
          <w:rFonts w:hint="eastAsia" w:ascii="宋体" w:hAnsi="宋体" w:cs="宋体"/>
          <w:color w:val="000000"/>
          <w:kern w:val="0"/>
          <w:sz w:val="24"/>
          <w:szCs w:val="24"/>
        </w:rPr>
        <w:t>投标人</w:t>
      </w:r>
      <w:r>
        <w:rPr>
          <w:rFonts w:ascii="宋体" w:hAnsi="宋体" w:cs="宋体"/>
          <w:color w:val="000000"/>
          <w:kern w:val="0"/>
          <w:sz w:val="24"/>
          <w:szCs w:val="24"/>
        </w:rPr>
        <w:t>2016</w:t>
      </w:r>
      <w:r>
        <w:rPr>
          <w:rFonts w:hint="eastAsia" w:ascii="宋体" w:hAnsi="宋体" w:cs="宋体"/>
          <w:color w:val="000000"/>
          <w:kern w:val="0"/>
          <w:sz w:val="24"/>
          <w:szCs w:val="24"/>
        </w:rPr>
        <w:t>年</w:t>
      </w:r>
      <w:r>
        <w:rPr>
          <w:rFonts w:ascii="宋体" w:hAnsi="宋体" w:cs="宋体"/>
          <w:color w:val="000000"/>
          <w:kern w:val="0"/>
          <w:sz w:val="24"/>
          <w:szCs w:val="24"/>
        </w:rPr>
        <w:t>7</w:t>
      </w:r>
      <w:r>
        <w:rPr>
          <w:rFonts w:hint="eastAsia" w:ascii="宋体" w:hAnsi="宋体" w:cs="宋体"/>
          <w:color w:val="000000"/>
          <w:kern w:val="0"/>
          <w:sz w:val="24"/>
          <w:szCs w:val="24"/>
        </w:rPr>
        <w:t>月以来与本项目相关的服务业绩目录（见第四章）及证明材料（目录包含供货单位、供货时间、金额、主要设备、供货单位联系人姓名及联系电话等信息；提供与本项目直接相关的供货合同等材料）。</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kern w:val="0"/>
          <w:sz w:val="24"/>
        </w:rPr>
      </w:pPr>
      <w:r>
        <w:rPr>
          <w:color w:val="000000"/>
          <w:sz w:val="24"/>
          <w:szCs w:val="24"/>
        </w:rPr>
        <w:t>1-8</w:t>
      </w:r>
      <w:r>
        <w:rPr>
          <w:rFonts w:hint="eastAsia"/>
          <w:color w:val="000000"/>
          <w:sz w:val="24"/>
          <w:szCs w:val="24"/>
        </w:rPr>
        <w:t>项材料按顺序装订，分标段独立封装，上述有关原件带至开标现场备查。投标人须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12</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6</w:t>
      </w:r>
      <w:r>
        <w:rPr>
          <w:rFonts w:hint="eastAsia" w:ascii="宋体" w:hAnsi="宋体" w:cs="Arial"/>
          <w:color w:val="000000"/>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12</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6</w:t>
      </w:r>
      <w:r>
        <w:rPr>
          <w:rFonts w:hint="eastAsia" w:ascii="宋体" w:hAnsi="宋体" w:cs="Arial"/>
          <w:color w:val="000000"/>
          <w:spacing w:val="15"/>
          <w:kern w:val="0"/>
          <w:sz w:val="24"/>
          <w:szCs w:val="24"/>
        </w:rPr>
        <w:t>日下午</w:t>
      </w:r>
      <w:r>
        <w:rPr>
          <w:rFonts w:hint="eastAsia" w:ascii="宋体" w:hAnsi="宋体" w:cs="Arial"/>
          <w:color w:val="000000"/>
          <w:spacing w:val="15"/>
          <w:kern w:val="0"/>
          <w:sz w:val="24"/>
          <w:szCs w:val="24"/>
          <w:lang w:val="en-US" w:eastAsia="zh-CN"/>
        </w:rPr>
        <w:t>14:30</w:t>
      </w:r>
      <w:bookmarkStart w:id="2" w:name="_GoBack"/>
      <w:bookmarkEnd w:id="2"/>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且按照评审因素的量化指标评审得分最高的投标人为中标候选人的评标方法。评委会将依据每个标段评分标准（见下表）进行评标，本评分标准的总分为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40" w:lineRule="exact"/>
        <w:jc w:val="center"/>
        <w:rPr>
          <w:rFonts w:ascii="宋体"/>
          <w:color w:val="000000"/>
          <w:sz w:val="24"/>
        </w:rPr>
      </w:pPr>
      <w:r>
        <w:rPr>
          <w:rFonts w:hint="eastAsia" w:ascii="宋体" w:hAnsi="宋体"/>
          <w:color w:val="000000"/>
          <w:sz w:val="24"/>
        </w:rPr>
        <w:t>标段1评分标准</w:t>
      </w:r>
    </w:p>
    <w:tbl>
      <w:tblPr>
        <w:tblStyle w:val="12"/>
        <w:tblW w:w="8880"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项</w:t>
            </w:r>
            <w:r>
              <w:rPr>
                <w:rFonts w:ascii="宋体" w:hAnsi="宋体" w:cs="宋体"/>
                <w:color w:val="000000"/>
                <w:kern w:val="0"/>
                <w:szCs w:val="21"/>
              </w:rPr>
              <w:t xml:space="preserve"> </w:t>
            </w:r>
            <w:r>
              <w:rPr>
                <w:rFonts w:hint="eastAsia" w:ascii="宋体" w:hAnsi="宋体" w:cs="宋体"/>
                <w:color w:val="000000"/>
                <w:kern w:val="0"/>
                <w:szCs w:val="21"/>
              </w:rPr>
              <w:t>目</w:t>
            </w:r>
          </w:p>
        </w:tc>
        <w:tc>
          <w:tcPr>
            <w:tcW w:w="684"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分数</w:t>
            </w:r>
          </w:p>
        </w:tc>
        <w:tc>
          <w:tcPr>
            <w:tcW w:w="5884" w:type="dxa"/>
            <w:tcBorders>
              <w:top w:val="single" w:color="000000"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评分标准</w:t>
            </w:r>
          </w:p>
        </w:tc>
        <w:tc>
          <w:tcPr>
            <w:tcW w:w="1041"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1044" w:hRule="atLeast"/>
          <w:jc w:val="center"/>
        </w:trPr>
        <w:tc>
          <w:tcPr>
            <w:tcW w:w="1271" w:type="dxa"/>
            <w:vAlign w:val="center"/>
          </w:tcPr>
          <w:p>
            <w:pPr>
              <w:rPr>
                <w:rFonts w:ascii="宋体" w:cs="宋体"/>
                <w:b/>
                <w:color w:val="000000"/>
                <w:kern w:val="0"/>
                <w:szCs w:val="21"/>
              </w:rPr>
            </w:pPr>
            <w:r>
              <w:rPr>
                <w:rFonts w:hint="eastAsia" w:ascii="宋体" w:hAnsi="宋体" w:cs="宋体"/>
                <w:b/>
                <w:color w:val="000000"/>
                <w:kern w:val="0"/>
                <w:szCs w:val="21"/>
              </w:rPr>
              <w:t>投标报价</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40</w:t>
            </w:r>
          </w:p>
        </w:tc>
        <w:tc>
          <w:tcPr>
            <w:tcW w:w="5884" w:type="dxa"/>
            <w:vAlign w:val="center"/>
          </w:tcPr>
          <w:p>
            <w:pPr>
              <w:rPr>
                <w:rFonts w:ascii="宋体" w:cs="宋体"/>
                <w:kern w:val="0"/>
                <w:szCs w:val="21"/>
              </w:rPr>
            </w:pPr>
            <w:r>
              <w:rPr>
                <w:rFonts w:hint="eastAsia" w:ascii="宋体" w:hAnsi="宋体" w:cs="宋体"/>
                <w:kern w:val="0"/>
                <w:szCs w:val="21"/>
              </w:rPr>
              <w:t>以满足招标要求且投标报价最低的有效报价为评标基准价，投标报价等于基准价得</w:t>
            </w:r>
            <w:r>
              <w:rPr>
                <w:rFonts w:ascii="宋体" w:hAnsi="宋体" w:cs="宋体"/>
                <w:kern w:val="0"/>
                <w:szCs w:val="21"/>
              </w:rPr>
              <w:t>40</w:t>
            </w:r>
            <w:r>
              <w:rPr>
                <w:rFonts w:hint="eastAsia" w:ascii="宋体" w:hAnsi="宋体" w:cs="宋体"/>
                <w:kern w:val="0"/>
                <w:szCs w:val="21"/>
              </w:rPr>
              <w:t>分，投标价格高于基准价的按下列公式计算：投标报价得分</w:t>
            </w:r>
            <w:r>
              <w:rPr>
                <w:rFonts w:ascii="宋体" w:hAnsi="宋体" w:cs="宋体"/>
                <w:kern w:val="0"/>
                <w:szCs w:val="21"/>
              </w:rPr>
              <w:t xml:space="preserve"> =</w:t>
            </w:r>
            <w:r>
              <w:rPr>
                <w:rFonts w:hint="eastAsia" w:ascii="宋体" w:hAnsi="宋体" w:cs="宋体"/>
                <w:kern w:val="0"/>
                <w:szCs w:val="21"/>
              </w:rPr>
              <w:t>（评标基准价</w:t>
            </w:r>
            <w:r>
              <w:rPr>
                <w:rFonts w:ascii="宋体" w:hAnsi="宋体" w:cs="宋体"/>
                <w:kern w:val="0"/>
                <w:szCs w:val="21"/>
              </w:rPr>
              <w:t>/</w:t>
            </w:r>
            <w:r>
              <w:rPr>
                <w:rFonts w:hint="eastAsia" w:ascii="宋体" w:hAnsi="宋体" w:cs="宋体"/>
                <w:kern w:val="0"/>
                <w:szCs w:val="21"/>
              </w:rPr>
              <w:t>投标报价）×</w:t>
            </w:r>
            <w:r>
              <w:rPr>
                <w:rFonts w:ascii="宋体" w:hAnsi="宋体" w:cs="宋体"/>
                <w:kern w:val="0"/>
                <w:szCs w:val="21"/>
              </w:rPr>
              <w:t>40</w:t>
            </w:r>
            <w:r>
              <w:rPr>
                <w:rFonts w:hint="eastAsia" w:ascii="宋体" w:hAnsi="宋体" w:cs="宋体"/>
                <w:kern w:val="0"/>
                <w:szCs w:val="21"/>
              </w:rPr>
              <w:t>。</w:t>
            </w:r>
          </w:p>
        </w:tc>
        <w:tc>
          <w:tcPr>
            <w:tcW w:w="1041" w:type="dxa"/>
          </w:tcPr>
          <w:p>
            <w:pPr>
              <w:rPr>
                <w:rFonts w:ascii="宋体" w:cs="宋体"/>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技术指标</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35</w:t>
            </w:r>
          </w:p>
        </w:tc>
        <w:tc>
          <w:tcPr>
            <w:tcW w:w="5884" w:type="dxa"/>
            <w:vAlign w:val="center"/>
          </w:tcPr>
          <w:p>
            <w:pPr>
              <w:rPr>
                <w:rFonts w:ascii="宋体" w:cs="宋体"/>
                <w:kern w:val="0"/>
                <w:szCs w:val="21"/>
              </w:rPr>
            </w:pPr>
            <w:r>
              <w:rPr>
                <w:rFonts w:ascii="宋体" w:hAnsi="宋体" w:cs="宋体"/>
                <w:kern w:val="0"/>
                <w:szCs w:val="21"/>
              </w:rPr>
              <w:t>1.</w:t>
            </w:r>
            <w:r>
              <w:rPr>
                <w:rFonts w:hint="eastAsia" w:ascii="宋体" w:hAnsi="宋体" w:cs="宋体"/>
                <w:kern w:val="0"/>
                <w:szCs w:val="21"/>
              </w:rPr>
              <w:t>投标产品的技术参数完全满足招标文件第二章要求，可得</w:t>
            </w:r>
            <w:r>
              <w:rPr>
                <w:rFonts w:ascii="宋体" w:hAnsi="宋体" w:cs="宋体"/>
                <w:kern w:val="0"/>
                <w:szCs w:val="21"/>
              </w:rPr>
              <w:t>35</w:t>
            </w:r>
            <w:r>
              <w:rPr>
                <w:rFonts w:hint="eastAsia" w:ascii="宋体" w:hAnsi="宋体" w:cs="宋体"/>
                <w:kern w:val="0"/>
                <w:szCs w:val="21"/>
              </w:rPr>
              <w:t>分，加★项必须全部满足，否则为无效投标。</w:t>
            </w:r>
          </w:p>
          <w:p>
            <w:pPr>
              <w:rPr>
                <w:rFonts w:ascii="宋体" w:cs="宋体"/>
                <w:kern w:val="0"/>
                <w:szCs w:val="21"/>
              </w:rPr>
            </w:pPr>
            <w:r>
              <w:rPr>
                <w:rFonts w:ascii="宋体" w:hAnsi="宋体" w:cs="宋体"/>
                <w:kern w:val="0"/>
                <w:szCs w:val="21"/>
              </w:rPr>
              <w:t>2.</w:t>
            </w:r>
            <w:r>
              <w:rPr>
                <w:rFonts w:hint="eastAsia" w:ascii="宋体" w:hAnsi="宋体" w:cs="宋体"/>
                <w:kern w:val="0"/>
                <w:szCs w:val="21"/>
              </w:rPr>
              <w:t>以</w:t>
            </w:r>
            <w:r>
              <w:rPr>
                <w:rFonts w:ascii="宋体" w:hAnsi="宋体" w:cs="宋体"/>
                <w:kern w:val="0"/>
                <w:szCs w:val="21"/>
              </w:rPr>
              <w:t>35</w:t>
            </w:r>
            <w:r>
              <w:rPr>
                <w:rFonts w:hint="eastAsia" w:ascii="宋体" w:hAnsi="宋体" w:cs="宋体"/>
                <w:kern w:val="0"/>
                <w:szCs w:val="21"/>
              </w:rPr>
              <w:t>分为基数，不加★项技术参数为负偏离的，有1项负偏离扣</w:t>
            </w:r>
            <w:r>
              <w:rPr>
                <w:rFonts w:ascii="宋体" w:hAnsi="宋体" w:cs="宋体"/>
                <w:kern w:val="0"/>
                <w:szCs w:val="21"/>
              </w:rPr>
              <w:t>5</w:t>
            </w:r>
            <w:r>
              <w:rPr>
                <w:rFonts w:hint="eastAsia" w:ascii="宋体" w:hAnsi="宋体" w:cs="宋体"/>
                <w:kern w:val="0"/>
                <w:szCs w:val="21"/>
              </w:rPr>
              <w:t>分，有</w:t>
            </w:r>
            <w:r>
              <w:rPr>
                <w:rFonts w:ascii="宋体" w:hAnsi="宋体" w:cs="宋体"/>
                <w:kern w:val="0"/>
                <w:szCs w:val="21"/>
              </w:rPr>
              <w:t>2</w:t>
            </w:r>
            <w:r>
              <w:rPr>
                <w:rFonts w:hint="eastAsia" w:ascii="宋体" w:hAnsi="宋体" w:cs="宋体"/>
                <w:kern w:val="0"/>
                <w:szCs w:val="21"/>
              </w:rPr>
              <w:t>项及以上负偏离则为无效标。</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品牌</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10</w:t>
            </w:r>
          </w:p>
        </w:tc>
        <w:tc>
          <w:tcPr>
            <w:tcW w:w="5884" w:type="dxa"/>
            <w:vAlign w:val="center"/>
          </w:tcPr>
          <w:p>
            <w:pPr>
              <w:rPr>
                <w:rFonts w:ascii="宋体" w:cs="宋体"/>
                <w:kern w:val="0"/>
                <w:szCs w:val="21"/>
              </w:rPr>
            </w:pPr>
            <w:r>
              <w:rPr>
                <w:rFonts w:hint="eastAsia" w:ascii="宋体" w:hAnsi="宋体" w:cs="宋体"/>
                <w:kern w:val="0"/>
                <w:szCs w:val="21"/>
              </w:rPr>
              <w:t>按照投标品牌市场影响力、认可度进行综合评价，按照综合排名酌情打分。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63"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业绩</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6</w:t>
            </w:r>
          </w:p>
        </w:tc>
        <w:tc>
          <w:tcPr>
            <w:tcW w:w="5884" w:type="dxa"/>
            <w:vAlign w:val="center"/>
          </w:tcPr>
          <w:p>
            <w:pPr>
              <w:rPr>
                <w:rFonts w:ascii="宋体" w:cs="宋体"/>
                <w:kern w:val="0"/>
                <w:szCs w:val="21"/>
              </w:rPr>
            </w:pPr>
            <w:r>
              <w:rPr>
                <w:rFonts w:hint="eastAsia" w:ascii="宋体" w:hAnsi="宋体" w:cs="宋体"/>
                <w:kern w:val="0"/>
                <w:szCs w:val="21"/>
              </w:rPr>
              <w:t>根据</w:t>
            </w:r>
            <w:r>
              <w:rPr>
                <w:rFonts w:ascii="宋体" w:hAnsi="宋体" w:cs="宋体"/>
                <w:kern w:val="0"/>
                <w:szCs w:val="21"/>
              </w:rPr>
              <w:t>2016</w:t>
            </w:r>
            <w:r>
              <w:rPr>
                <w:rFonts w:hint="eastAsia" w:ascii="宋体" w:hAnsi="宋体" w:cs="宋体"/>
                <w:kern w:val="0"/>
                <w:szCs w:val="21"/>
              </w:rPr>
              <w:t>年</w:t>
            </w:r>
            <w:r>
              <w:rPr>
                <w:rFonts w:ascii="宋体" w:hAnsi="宋体" w:cs="宋体"/>
                <w:kern w:val="0"/>
                <w:szCs w:val="21"/>
              </w:rPr>
              <w:t>7</w:t>
            </w:r>
            <w:r>
              <w:rPr>
                <w:rFonts w:hint="eastAsia" w:ascii="宋体" w:hAnsi="宋体" w:cs="宋体"/>
                <w:kern w:val="0"/>
                <w:szCs w:val="21"/>
              </w:rPr>
              <w:t>月签订实施的与本项目直接相关的、合同金额</w:t>
            </w:r>
            <w:r>
              <w:rPr>
                <w:rFonts w:ascii="宋体" w:hAnsi="宋体" w:cs="宋体"/>
                <w:kern w:val="0"/>
                <w:szCs w:val="21"/>
              </w:rPr>
              <w:t>10</w:t>
            </w:r>
            <w:r>
              <w:rPr>
                <w:rFonts w:hint="eastAsia" w:ascii="宋体" w:hAnsi="宋体" w:cs="宋体"/>
                <w:kern w:val="0"/>
                <w:szCs w:val="21"/>
              </w:rPr>
              <w:t>万元以上的业绩打分，有</w:t>
            </w:r>
            <w:r>
              <w:rPr>
                <w:rFonts w:ascii="宋体" w:hAnsi="宋体" w:cs="宋体"/>
                <w:kern w:val="0"/>
                <w:szCs w:val="21"/>
              </w:rPr>
              <w:t>1</w:t>
            </w:r>
            <w:r>
              <w:rPr>
                <w:rFonts w:hint="eastAsia" w:ascii="宋体" w:hAnsi="宋体" w:cs="宋体"/>
                <w:kern w:val="0"/>
                <w:szCs w:val="21"/>
              </w:rPr>
              <w:t>项，加</w:t>
            </w:r>
            <w:r>
              <w:rPr>
                <w:rFonts w:ascii="宋体" w:hAnsi="宋体" w:cs="宋体"/>
                <w:kern w:val="0"/>
                <w:szCs w:val="21"/>
              </w:rPr>
              <w:t>1</w:t>
            </w:r>
            <w:r>
              <w:rPr>
                <w:rFonts w:hint="eastAsia" w:ascii="宋体" w:hAnsi="宋体" w:cs="宋体"/>
                <w:kern w:val="0"/>
                <w:szCs w:val="21"/>
              </w:rPr>
              <w:t>分，最多加</w:t>
            </w:r>
            <w:r>
              <w:rPr>
                <w:rFonts w:ascii="宋体" w:hAnsi="宋体" w:cs="宋体"/>
                <w:kern w:val="0"/>
                <w:szCs w:val="21"/>
              </w:rPr>
              <w:t>6</w:t>
            </w:r>
            <w:r>
              <w:rPr>
                <w:rFonts w:hint="eastAsia" w:ascii="宋体" w:hAnsi="宋体" w:cs="宋体"/>
                <w:kern w:val="0"/>
                <w:szCs w:val="21"/>
              </w:rPr>
              <w:t>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1970"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售后服务</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9</w:t>
            </w:r>
          </w:p>
        </w:tc>
        <w:tc>
          <w:tcPr>
            <w:tcW w:w="5884" w:type="dxa"/>
            <w:vAlign w:val="center"/>
          </w:tcPr>
          <w:p>
            <w:pPr>
              <w:rPr>
                <w:rFonts w:ascii="宋体" w:hAnsi="宋体" w:cs="宋体"/>
                <w:kern w:val="0"/>
                <w:szCs w:val="21"/>
              </w:rPr>
            </w:pPr>
            <w:r>
              <w:rPr>
                <w:rFonts w:ascii="宋体" w:hAnsi="宋体" w:cs="宋体"/>
                <w:kern w:val="0"/>
                <w:szCs w:val="21"/>
              </w:rPr>
              <w:t>1.</w:t>
            </w:r>
            <w:r>
              <w:rPr>
                <w:rFonts w:hint="eastAsia" w:ascii="宋体" w:hAnsi="宋体" w:cs="宋体"/>
                <w:kern w:val="0"/>
                <w:szCs w:val="21"/>
              </w:rPr>
              <w:t>免费质保期限不低于</w:t>
            </w:r>
            <w:r>
              <w:rPr>
                <w:rFonts w:ascii="宋体" w:hAnsi="宋体" w:cs="宋体"/>
                <w:kern w:val="0"/>
                <w:szCs w:val="21"/>
              </w:rPr>
              <w:t>3</w:t>
            </w:r>
            <w:r>
              <w:rPr>
                <w:rFonts w:hint="eastAsia" w:ascii="宋体" w:hAnsi="宋体" w:cs="宋体"/>
                <w:kern w:val="0"/>
                <w:szCs w:val="21"/>
              </w:rPr>
              <w:t>年，每增加1年加1分，最多加</w:t>
            </w:r>
            <w:r>
              <w:rPr>
                <w:rFonts w:ascii="宋体" w:hAnsi="宋体" w:cs="宋体"/>
                <w:kern w:val="0"/>
                <w:szCs w:val="21"/>
              </w:rPr>
              <w:t>2</w:t>
            </w:r>
            <w:r>
              <w:rPr>
                <w:rFonts w:hint="eastAsia" w:ascii="宋体" w:hAnsi="宋体" w:cs="宋体"/>
                <w:kern w:val="0"/>
                <w:szCs w:val="21"/>
              </w:rPr>
              <w:t>分；</w:t>
            </w:r>
          </w:p>
          <w:p>
            <w:pPr>
              <w:rPr>
                <w:rFonts w:ascii="宋体" w:cs="宋体"/>
                <w:kern w:val="0"/>
                <w:szCs w:val="21"/>
              </w:rPr>
            </w:pPr>
            <w:r>
              <w:rPr>
                <w:rFonts w:hint="eastAsia" w:ascii="宋体" w:hAnsi="宋体" w:cs="宋体"/>
                <w:kern w:val="0"/>
                <w:szCs w:val="21"/>
              </w:rPr>
              <w:t>2</w:t>
            </w:r>
            <w:r>
              <w:rPr>
                <w:rFonts w:ascii="宋体" w:hAnsi="宋体" w:cs="宋体"/>
                <w:kern w:val="0"/>
                <w:szCs w:val="21"/>
              </w:rPr>
              <w:t>.</w:t>
            </w:r>
            <w:r>
              <w:rPr>
                <w:rFonts w:hint="eastAsia" w:ascii="宋体" w:hAnsi="宋体" w:cs="宋体"/>
                <w:kern w:val="0"/>
                <w:szCs w:val="21"/>
              </w:rPr>
              <w:t>软件免费升级服务不少于1年，每增加1年加1分，最多加3分；</w:t>
            </w:r>
          </w:p>
          <w:p>
            <w:pPr>
              <w:rPr>
                <w:rFonts w:ascii="宋体" w:cs="宋体"/>
                <w:kern w:val="0"/>
                <w:szCs w:val="21"/>
              </w:rPr>
            </w:pPr>
            <w:r>
              <w:rPr>
                <w:rFonts w:ascii="宋体" w:hAnsi="宋体" w:cs="宋体"/>
                <w:kern w:val="0"/>
                <w:szCs w:val="21"/>
              </w:rPr>
              <w:t>3.</w:t>
            </w:r>
            <w:r>
              <w:rPr>
                <w:rFonts w:hint="eastAsia" w:ascii="宋体" w:hAnsi="宋体" w:cs="宋体"/>
                <w:kern w:val="0"/>
                <w:szCs w:val="21"/>
              </w:rPr>
              <w:t>根据免费质保期内服务承诺和免费质保期满后的服务承诺、服务收费情况打分，优秀得</w:t>
            </w:r>
            <w:r>
              <w:rPr>
                <w:rFonts w:ascii="宋体" w:hAnsi="宋体" w:cs="宋体"/>
                <w:kern w:val="0"/>
                <w:szCs w:val="21"/>
              </w:rPr>
              <w:t>4</w:t>
            </w:r>
            <w:r>
              <w:rPr>
                <w:rFonts w:hint="eastAsia" w:ascii="宋体" w:hAnsi="宋体" w:cs="宋体"/>
                <w:kern w:val="0"/>
                <w:szCs w:val="21"/>
              </w:rPr>
              <w:t>分，良好得</w:t>
            </w:r>
            <w:r>
              <w:rPr>
                <w:rFonts w:ascii="宋体" w:hAnsi="宋体" w:cs="宋体"/>
                <w:kern w:val="0"/>
                <w:szCs w:val="21"/>
              </w:rPr>
              <w:t>3</w:t>
            </w:r>
            <w:r>
              <w:rPr>
                <w:rFonts w:hint="eastAsia" w:ascii="宋体" w:hAnsi="宋体" w:cs="宋体"/>
                <w:kern w:val="0"/>
                <w:szCs w:val="21"/>
              </w:rPr>
              <w:t>分，一般得</w:t>
            </w:r>
            <w:r>
              <w:rPr>
                <w:rFonts w:ascii="宋体" w:hAnsi="宋体" w:cs="宋体"/>
                <w:kern w:val="0"/>
                <w:szCs w:val="21"/>
              </w:rPr>
              <w:t>2</w:t>
            </w:r>
            <w:r>
              <w:rPr>
                <w:rFonts w:hint="eastAsia" w:ascii="宋体" w:hAnsi="宋体" w:cs="宋体"/>
                <w:kern w:val="0"/>
                <w:szCs w:val="21"/>
              </w:rPr>
              <w:t>分，差得</w:t>
            </w:r>
            <w:r>
              <w:rPr>
                <w:rFonts w:ascii="宋体" w:hAnsi="宋体" w:cs="宋体"/>
                <w:kern w:val="0"/>
                <w:szCs w:val="21"/>
              </w:rPr>
              <w:t>0</w:t>
            </w:r>
            <w:r>
              <w:rPr>
                <w:rFonts w:hint="eastAsia" w:ascii="宋体" w:hAnsi="宋体" w:cs="宋体"/>
                <w:kern w:val="0"/>
                <w:szCs w:val="21"/>
              </w:rPr>
              <w:t>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446" w:hRule="exact"/>
          <w:jc w:val="center"/>
        </w:trPr>
        <w:tc>
          <w:tcPr>
            <w:tcW w:w="1271" w:type="dxa"/>
            <w:tcBorders>
              <w:bottom w:val="single" w:color="000000" w:sz="4" w:space="0"/>
            </w:tcBorders>
            <w:vAlign w:val="center"/>
          </w:tcPr>
          <w:p>
            <w:pPr>
              <w:snapToGrid w:val="0"/>
              <w:rPr>
                <w:rFonts w:ascii="宋体" w:cs="宋体"/>
                <w:b/>
                <w:color w:val="000000"/>
                <w:kern w:val="0"/>
                <w:szCs w:val="21"/>
              </w:rPr>
            </w:pPr>
            <w:r>
              <w:rPr>
                <w:rFonts w:hint="eastAsia" w:ascii="宋体" w:hAnsi="宋体" w:cs="宋体"/>
                <w:b/>
                <w:color w:val="000000"/>
                <w:kern w:val="0"/>
                <w:szCs w:val="21"/>
              </w:rPr>
              <w:t>总分</w:t>
            </w:r>
          </w:p>
        </w:tc>
        <w:tc>
          <w:tcPr>
            <w:tcW w:w="684" w:type="dxa"/>
            <w:tcBorders>
              <w:bottom w:val="single" w:color="000000" w:sz="4" w:space="0"/>
            </w:tcBorders>
            <w:vAlign w:val="center"/>
          </w:tcPr>
          <w:p>
            <w:pPr>
              <w:jc w:val="center"/>
              <w:rPr>
                <w:rFonts w:ascii="宋体" w:cs="宋体"/>
                <w:color w:val="000000"/>
                <w:kern w:val="0"/>
                <w:szCs w:val="21"/>
              </w:rPr>
            </w:pPr>
            <w:r>
              <w:rPr>
                <w:rFonts w:ascii="宋体" w:cs="宋体"/>
                <w:color w:val="000000"/>
                <w:kern w:val="0"/>
                <w:szCs w:val="21"/>
              </w:rPr>
              <w:t>100</w:t>
            </w:r>
          </w:p>
        </w:tc>
        <w:tc>
          <w:tcPr>
            <w:tcW w:w="5884" w:type="dxa"/>
            <w:tcBorders>
              <w:bottom w:val="single" w:color="000000" w:sz="4" w:space="0"/>
            </w:tcBorders>
            <w:vAlign w:val="center"/>
          </w:tcPr>
          <w:p>
            <w:pPr>
              <w:widowControl/>
              <w:rPr>
                <w:rFonts w:cs="宋体"/>
                <w:color w:val="000000"/>
                <w:kern w:val="0"/>
                <w:szCs w:val="21"/>
              </w:rPr>
            </w:pPr>
          </w:p>
        </w:tc>
        <w:tc>
          <w:tcPr>
            <w:tcW w:w="1041" w:type="dxa"/>
            <w:tcBorders>
              <w:bottom w:val="single" w:color="000000" w:sz="4" w:space="0"/>
            </w:tcBorders>
          </w:tcPr>
          <w:p>
            <w:pPr>
              <w:widowControl/>
              <w:rPr>
                <w:rFonts w:cs="宋体"/>
                <w:color w:val="000000"/>
                <w:kern w:val="0"/>
                <w:szCs w:val="21"/>
              </w:rPr>
            </w:pPr>
          </w:p>
        </w:tc>
      </w:tr>
    </w:tbl>
    <w:p>
      <w:pPr>
        <w:tabs>
          <w:tab w:val="left" w:pos="2820"/>
        </w:tabs>
        <w:spacing w:line="440" w:lineRule="exact"/>
        <w:jc w:val="center"/>
        <w:rPr>
          <w:rFonts w:ascii="宋体"/>
          <w:color w:val="000000"/>
          <w:sz w:val="24"/>
        </w:rPr>
      </w:pPr>
      <w:r>
        <w:rPr>
          <w:rFonts w:hint="eastAsia" w:ascii="宋体" w:hAnsi="宋体"/>
          <w:color w:val="000000"/>
          <w:sz w:val="24"/>
        </w:rPr>
        <w:t>标段</w:t>
      </w:r>
      <w:r>
        <w:rPr>
          <w:rFonts w:ascii="宋体" w:hAnsi="宋体"/>
          <w:color w:val="000000"/>
          <w:sz w:val="24"/>
        </w:rPr>
        <w:t>2</w:t>
      </w:r>
      <w:r>
        <w:rPr>
          <w:rFonts w:hint="eastAsia" w:ascii="宋体" w:hAnsi="宋体"/>
          <w:color w:val="000000"/>
          <w:sz w:val="24"/>
        </w:rPr>
        <w:t>评分标准</w:t>
      </w:r>
    </w:p>
    <w:tbl>
      <w:tblPr>
        <w:tblStyle w:val="12"/>
        <w:tblW w:w="8880"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项</w:t>
            </w:r>
            <w:r>
              <w:rPr>
                <w:rFonts w:ascii="宋体" w:hAnsi="宋体" w:cs="宋体"/>
                <w:color w:val="000000"/>
                <w:kern w:val="0"/>
                <w:szCs w:val="21"/>
              </w:rPr>
              <w:t xml:space="preserve"> </w:t>
            </w:r>
            <w:r>
              <w:rPr>
                <w:rFonts w:hint="eastAsia" w:ascii="宋体" w:hAnsi="宋体" w:cs="宋体"/>
                <w:color w:val="000000"/>
                <w:kern w:val="0"/>
                <w:szCs w:val="21"/>
              </w:rPr>
              <w:t>目</w:t>
            </w:r>
          </w:p>
        </w:tc>
        <w:tc>
          <w:tcPr>
            <w:tcW w:w="684"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分数</w:t>
            </w:r>
          </w:p>
        </w:tc>
        <w:tc>
          <w:tcPr>
            <w:tcW w:w="5884" w:type="dxa"/>
            <w:tcBorders>
              <w:top w:val="single" w:color="000000"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评分标准</w:t>
            </w:r>
          </w:p>
        </w:tc>
        <w:tc>
          <w:tcPr>
            <w:tcW w:w="1041"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996" w:hRule="atLeast"/>
          <w:jc w:val="center"/>
        </w:trPr>
        <w:tc>
          <w:tcPr>
            <w:tcW w:w="1271" w:type="dxa"/>
            <w:vAlign w:val="center"/>
          </w:tcPr>
          <w:p>
            <w:pPr>
              <w:rPr>
                <w:rFonts w:ascii="宋体" w:cs="宋体"/>
                <w:b/>
                <w:color w:val="000000"/>
                <w:kern w:val="0"/>
                <w:szCs w:val="21"/>
              </w:rPr>
            </w:pPr>
            <w:r>
              <w:rPr>
                <w:rFonts w:hint="eastAsia" w:ascii="宋体" w:hAnsi="宋体" w:cs="宋体"/>
                <w:b/>
                <w:color w:val="000000"/>
                <w:kern w:val="0"/>
                <w:szCs w:val="21"/>
              </w:rPr>
              <w:t>投标报价</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40</w:t>
            </w:r>
          </w:p>
        </w:tc>
        <w:tc>
          <w:tcPr>
            <w:tcW w:w="5884" w:type="dxa"/>
            <w:vAlign w:val="center"/>
          </w:tcPr>
          <w:p>
            <w:pPr>
              <w:rPr>
                <w:rFonts w:ascii="宋体" w:cs="宋体"/>
                <w:kern w:val="0"/>
                <w:szCs w:val="21"/>
              </w:rPr>
            </w:pPr>
            <w:r>
              <w:rPr>
                <w:rFonts w:hint="eastAsia" w:ascii="宋体" w:hAnsi="宋体" w:cs="宋体"/>
                <w:kern w:val="0"/>
                <w:szCs w:val="21"/>
              </w:rPr>
              <w:t>以满足招标要求且投标报价最低的有效报价为评标基准价，投标报价等于基准价得</w:t>
            </w:r>
            <w:r>
              <w:rPr>
                <w:rFonts w:ascii="宋体" w:hAnsi="宋体" w:cs="宋体"/>
                <w:kern w:val="0"/>
                <w:szCs w:val="21"/>
              </w:rPr>
              <w:t>40</w:t>
            </w:r>
            <w:r>
              <w:rPr>
                <w:rFonts w:hint="eastAsia" w:ascii="宋体" w:hAnsi="宋体" w:cs="宋体"/>
                <w:kern w:val="0"/>
                <w:szCs w:val="21"/>
              </w:rPr>
              <w:t>分，投标价格高于基准价的按下列公式计算：投标报价得分</w:t>
            </w:r>
            <w:r>
              <w:rPr>
                <w:rFonts w:ascii="宋体" w:hAnsi="宋体" w:cs="宋体"/>
                <w:kern w:val="0"/>
                <w:szCs w:val="21"/>
              </w:rPr>
              <w:t xml:space="preserve"> =</w:t>
            </w:r>
            <w:r>
              <w:rPr>
                <w:rFonts w:hint="eastAsia" w:ascii="宋体" w:hAnsi="宋体" w:cs="宋体"/>
                <w:kern w:val="0"/>
                <w:szCs w:val="21"/>
              </w:rPr>
              <w:t>（评标基准价</w:t>
            </w:r>
            <w:r>
              <w:rPr>
                <w:rFonts w:ascii="宋体" w:hAnsi="宋体" w:cs="宋体"/>
                <w:kern w:val="0"/>
                <w:szCs w:val="21"/>
              </w:rPr>
              <w:t>/</w:t>
            </w:r>
            <w:r>
              <w:rPr>
                <w:rFonts w:hint="eastAsia" w:ascii="宋体" w:hAnsi="宋体" w:cs="宋体"/>
                <w:kern w:val="0"/>
                <w:szCs w:val="21"/>
              </w:rPr>
              <w:t>投标报价）×</w:t>
            </w:r>
            <w:r>
              <w:rPr>
                <w:rFonts w:ascii="宋体" w:hAnsi="宋体" w:cs="宋体"/>
                <w:kern w:val="0"/>
                <w:szCs w:val="21"/>
              </w:rPr>
              <w:t>40</w:t>
            </w:r>
            <w:r>
              <w:rPr>
                <w:rFonts w:hint="eastAsia" w:ascii="宋体" w:hAnsi="宋体" w:cs="宋体"/>
                <w:kern w:val="0"/>
                <w:szCs w:val="21"/>
              </w:rPr>
              <w:t>。</w:t>
            </w:r>
          </w:p>
        </w:tc>
        <w:tc>
          <w:tcPr>
            <w:tcW w:w="1041" w:type="dxa"/>
          </w:tcPr>
          <w:p>
            <w:pPr>
              <w:rPr>
                <w:rFonts w:ascii="宋体" w:cs="宋体"/>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技术指标</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36</w:t>
            </w:r>
          </w:p>
        </w:tc>
        <w:tc>
          <w:tcPr>
            <w:tcW w:w="5884" w:type="dxa"/>
            <w:vAlign w:val="center"/>
          </w:tcPr>
          <w:p>
            <w:pPr>
              <w:rPr>
                <w:rFonts w:ascii="宋体" w:cs="宋体"/>
                <w:kern w:val="0"/>
                <w:szCs w:val="21"/>
              </w:rPr>
            </w:pPr>
            <w:r>
              <w:rPr>
                <w:rFonts w:ascii="宋体" w:hAnsi="宋体" w:cs="宋体"/>
                <w:kern w:val="0"/>
                <w:szCs w:val="21"/>
              </w:rPr>
              <w:t>1.</w:t>
            </w:r>
            <w:r>
              <w:rPr>
                <w:rFonts w:hint="eastAsia" w:ascii="宋体" w:hAnsi="宋体" w:cs="宋体"/>
                <w:kern w:val="0"/>
                <w:szCs w:val="21"/>
              </w:rPr>
              <w:t>投标产品的技术参数完全满足招标文件第二章要求，可得</w:t>
            </w:r>
            <w:r>
              <w:rPr>
                <w:rFonts w:ascii="宋体" w:hAnsi="宋体" w:cs="宋体"/>
                <w:kern w:val="0"/>
                <w:szCs w:val="21"/>
              </w:rPr>
              <w:t>36</w:t>
            </w:r>
            <w:r>
              <w:rPr>
                <w:rFonts w:hint="eastAsia" w:ascii="宋体" w:hAnsi="宋体" w:cs="宋体"/>
                <w:kern w:val="0"/>
                <w:szCs w:val="21"/>
              </w:rPr>
              <w:t>分，加★项必须全部满足，否则为无效投标。</w:t>
            </w:r>
          </w:p>
          <w:p>
            <w:pPr>
              <w:rPr>
                <w:rFonts w:ascii="宋体" w:cs="宋体"/>
                <w:kern w:val="0"/>
                <w:szCs w:val="21"/>
              </w:rPr>
            </w:pPr>
            <w:r>
              <w:rPr>
                <w:rFonts w:ascii="宋体" w:hAnsi="宋体" w:cs="宋体"/>
                <w:kern w:val="0"/>
                <w:szCs w:val="21"/>
              </w:rPr>
              <w:t>2.</w:t>
            </w:r>
            <w:r>
              <w:rPr>
                <w:rFonts w:hint="eastAsia" w:ascii="宋体" w:hAnsi="宋体" w:cs="宋体"/>
                <w:kern w:val="0"/>
                <w:szCs w:val="21"/>
              </w:rPr>
              <w:t>以</w:t>
            </w:r>
            <w:r>
              <w:rPr>
                <w:rFonts w:ascii="宋体" w:hAnsi="宋体" w:cs="宋体"/>
                <w:kern w:val="0"/>
                <w:szCs w:val="21"/>
              </w:rPr>
              <w:t>36</w:t>
            </w:r>
            <w:r>
              <w:rPr>
                <w:rFonts w:hint="eastAsia" w:ascii="宋体" w:hAnsi="宋体" w:cs="宋体"/>
                <w:kern w:val="0"/>
                <w:szCs w:val="21"/>
              </w:rPr>
              <w:t>分为基数，不加★项技术参数为负偏离的，有一项负偏离扣</w:t>
            </w:r>
            <w:r>
              <w:rPr>
                <w:rFonts w:ascii="宋体" w:hAnsi="宋体" w:cs="宋体"/>
                <w:kern w:val="0"/>
                <w:szCs w:val="21"/>
              </w:rPr>
              <w:t>2</w:t>
            </w:r>
            <w:r>
              <w:rPr>
                <w:rFonts w:hint="eastAsia" w:ascii="宋体" w:hAnsi="宋体" w:cs="宋体"/>
                <w:kern w:val="0"/>
                <w:szCs w:val="21"/>
              </w:rPr>
              <w:t>分，有</w:t>
            </w:r>
            <w:r>
              <w:rPr>
                <w:rFonts w:ascii="宋体" w:hAnsi="宋体" w:cs="宋体"/>
                <w:kern w:val="0"/>
                <w:szCs w:val="21"/>
              </w:rPr>
              <w:t>3</w:t>
            </w:r>
            <w:r>
              <w:rPr>
                <w:rFonts w:hint="eastAsia" w:ascii="宋体" w:hAnsi="宋体" w:cs="宋体"/>
                <w:kern w:val="0"/>
                <w:szCs w:val="21"/>
              </w:rPr>
              <w:t>项及以上负偏离则为无效标。</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品牌</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10</w:t>
            </w:r>
          </w:p>
        </w:tc>
        <w:tc>
          <w:tcPr>
            <w:tcW w:w="5884" w:type="dxa"/>
            <w:vAlign w:val="center"/>
          </w:tcPr>
          <w:p>
            <w:pPr>
              <w:rPr>
                <w:rFonts w:ascii="宋体" w:cs="宋体"/>
                <w:kern w:val="0"/>
                <w:szCs w:val="21"/>
              </w:rPr>
            </w:pPr>
            <w:r>
              <w:rPr>
                <w:rFonts w:hint="eastAsia" w:ascii="宋体" w:hAnsi="宋体" w:cs="宋体"/>
                <w:kern w:val="0"/>
                <w:szCs w:val="21"/>
              </w:rPr>
              <w:t>按照投标品牌市场影响力、认可度进行综合评价，按照综合排名酌情打分。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67"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业绩</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6</w:t>
            </w:r>
          </w:p>
        </w:tc>
        <w:tc>
          <w:tcPr>
            <w:tcW w:w="5884" w:type="dxa"/>
            <w:vAlign w:val="center"/>
          </w:tcPr>
          <w:p>
            <w:pPr>
              <w:rPr>
                <w:rFonts w:ascii="宋体" w:cs="宋体"/>
                <w:kern w:val="0"/>
                <w:szCs w:val="21"/>
              </w:rPr>
            </w:pPr>
            <w:r>
              <w:rPr>
                <w:rFonts w:hint="eastAsia" w:ascii="宋体" w:hAnsi="宋体" w:cs="宋体"/>
                <w:kern w:val="0"/>
                <w:szCs w:val="21"/>
              </w:rPr>
              <w:t>根据</w:t>
            </w:r>
            <w:r>
              <w:rPr>
                <w:rFonts w:ascii="宋体" w:hAnsi="宋体" w:cs="宋体"/>
                <w:kern w:val="0"/>
                <w:szCs w:val="21"/>
              </w:rPr>
              <w:t>2016</w:t>
            </w:r>
            <w:r>
              <w:rPr>
                <w:rFonts w:hint="eastAsia" w:ascii="宋体" w:hAnsi="宋体" w:cs="宋体"/>
                <w:kern w:val="0"/>
                <w:szCs w:val="21"/>
              </w:rPr>
              <w:t>年</w:t>
            </w:r>
            <w:r>
              <w:rPr>
                <w:rFonts w:ascii="宋体" w:hAnsi="宋体" w:cs="宋体"/>
                <w:kern w:val="0"/>
                <w:szCs w:val="21"/>
              </w:rPr>
              <w:t>7</w:t>
            </w:r>
            <w:r>
              <w:rPr>
                <w:rFonts w:hint="eastAsia" w:ascii="宋体" w:hAnsi="宋体" w:cs="宋体"/>
                <w:kern w:val="0"/>
                <w:szCs w:val="21"/>
              </w:rPr>
              <w:t>月签订实施的与本项目直接相关的业绩打分，有</w:t>
            </w:r>
            <w:r>
              <w:rPr>
                <w:rFonts w:ascii="宋体" w:hAnsi="宋体" w:cs="宋体"/>
                <w:kern w:val="0"/>
                <w:szCs w:val="21"/>
              </w:rPr>
              <w:t>1</w:t>
            </w:r>
            <w:r>
              <w:rPr>
                <w:rFonts w:hint="eastAsia" w:ascii="宋体" w:hAnsi="宋体" w:cs="宋体"/>
                <w:kern w:val="0"/>
                <w:szCs w:val="21"/>
              </w:rPr>
              <w:t>项，加</w:t>
            </w:r>
            <w:r>
              <w:rPr>
                <w:rFonts w:ascii="宋体" w:hAnsi="宋体" w:cs="宋体"/>
                <w:kern w:val="0"/>
                <w:szCs w:val="21"/>
              </w:rPr>
              <w:t>1</w:t>
            </w:r>
            <w:r>
              <w:rPr>
                <w:rFonts w:hint="eastAsia" w:ascii="宋体" w:hAnsi="宋体" w:cs="宋体"/>
                <w:kern w:val="0"/>
                <w:szCs w:val="21"/>
              </w:rPr>
              <w:t>分，最多加</w:t>
            </w:r>
            <w:r>
              <w:rPr>
                <w:rFonts w:ascii="宋体" w:hAnsi="宋体" w:cs="宋体"/>
                <w:kern w:val="0"/>
                <w:szCs w:val="21"/>
              </w:rPr>
              <w:t>6</w:t>
            </w:r>
            <w:r>
              <w:rPr>
                <w:rFonts w:hint="eastAsia" w:ascii="宋体" w:hAnsi="宋体" w:cs="宋体"/>
                <w:kern w:val="0"/>
                <w:szCs w:val="21"/>
              </w:rPr>
              <w:t>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1427"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售后服务</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8</w:t>
            </w:r>
          </w:p>
        </w:tc>
        <w:tc>
          <w:tcPr>
            <w:tcW w:w="5884" w:type="dxa"/>
            <w:vAlign w:val="center"/>
          </w:tcPr>
          <w:p>
            <w:pPr>
              <w:rPr>
                <w:rFonts w:ascii="宋体" w:hAnsi="宋体" w:cs="宋体"/>
                <w:kern w:val="0"/>
                <w:szCs w:val="21"/>
              </w:rPr>
            </w:pPr>
            <w:r>
              <w:rPr>
                <w:rFonts w:ascii="宋体" w:hAnsi="宋体" w:cs="宋体"/>
                <w:kern w:val="0"/>
                <w:szCs w:val="21"/>
              </w:rPr>
              <w:t>1.</w:t>
            </w:r>
            <w:r>
              <w:rPr>
                <w:rFonts w:hint="eastAsia" w:ascii="宋体" w:hAnsi="宋体" w:cs="宋体"/>
                <w:kern w:val="0"/>
                <w:szCs w:val="21"/>
              </w:rPr>
              <w:t>免费质保期限不低于</w:t>
            </w:r>
            <w:r>
              <w:rPr>
                <w:rFonts w:ascii="宋体" w:hAnsi="宋体" w:cs="宋体"/>
                <w:kern w:val="0"/>
                <w:szCs w:val="21"/>
              </w:rPr>
              <w:t>3</w:t>
            </w:r>
            <w:r>
              <w:rPr>
                <w:rFonts w:hint="eastAsia" w:ascii="宋体" w:hAnsi="宋体" w:cs="宋体"/>
                <w:kern w:val="0"/>
                <w:szCs w:val="21"/>
              </w:rPr>
              <w:t>年，每增加1年加1分，最多加</w:t>
            </w:r>
            <w:r>
              <w:rPr>
                <w:rFonts w:ascii="宋体" w:hAnsi="宋体" w:cs="宋体"/>
                <w:kern w:val="0"/>
                <w:szCs w:val="21"/>
              </w:rPr>
              <w:t>3</w:t>
            </w:r>
            <w:r>
              <w:rPr>
                <w:rFonts w:hint="eastAsia" w:ascii="宋体" w:hAnsi="宋体" w:cs="宋体"/>
                <w:kern w:val="0"/>
                <w:szCs w:val="21"/>
              </w:rPr>
              <w:t>分；</w:t>
            </w:r>
          </w:p>
          <w:p>
            <w:pPr>
              <w:rPr>
                <w:rFonts w:ascii="宋体" w:cs="宋体"/>
                <w:kern w:val="0"/>
                <w:szCs w:val="21"/>
              </w:rPr>
            </w:pPr>
            <w:r>
              <w:rPr>
                <w:rFonts w:hint="eastAsia" w:ascii="宋体" w:hAnsi="宋体" w:cs="宋体"/>
                <w:kern w:val="0"/>
                <w:szCs w:val="21"/>
              </w:rPr>
              <w:t>2</w:t>
            </w:r>
            <w:r>
              <w:rPr>
                <w:rFonts w:ascii="宋体" w:hAnsi="宋体" w:cs="宋体"/>
                <w:kern w:val="0"/>
                <w:szCs w:val="21"/>
              </w:rPr>
              <w:t>.</w:t>
            </w:r>
            <w:r>
              <w:rPr>
                <w:rFonts w:hint="eastAsia" w:ascii="宋体" w:hAnsi="宋体" w:cs="宋体"/>
                <w:kern w:val="0"/>
                <w:szCs w:val="21"/>
              </w:rPr>
              <w:t>根据免费质保期内服务承诺和免费质保期满后的服务承诺、服务收费情况打分，优秀得</w:t>
            </w:r>
            <w:r>
              <w:rPr>
                <w:rFonts w:ascii="宋体" w:hAnsi="宋体" w:cs="宋体"/>
                <w:kern w:val="0"/>
                <w:szCs w:val="21"/>
              </w:rPr>
              <w:t>5</w:t>
            </w:r>
            <w:r>
              <w:rPr>
                <w:rFonts w:hint="eastAsia" w:ascii="宋体" w:hAnsi="宋体" w:cs="宋体"/>
                <w:kern w:val="0"/>
                <w:szCs w:val="21"/>
              </w:rPr>
              <w:t>分，良好得</w:t>
            </w:r>
            <w:r>
              <w:rPr>
                <w:rFonts w:ascii="宋体" w:hAnsi="宋体" w:cs="宋体"/>
                <w:kern w:val="0"/>
                <w:szCs w:val="21"/>
              </w:rPr>
              <w:t>4</w:t>
            </w:r>
            <w:r>
              <w:rPr>
                <w:rFonts w:hint="eastAsia" w:ascii="宋体" w:hAnsi="宋体" w:cs="宋体"/>
                <w:kern w:val="0"/>
                <w:szCs w:val="21"/>
              </w:rPr>
              <w:t>分，一般得</w:t>
            </w:r>
            <w:r>
              <w:rPr>
                <w:rFonts w:ascii="宋体" w:hAnsi="宋体" w:cs="宋体"/>
                <w:kern w:val="0"/>
                <w:szCs w:val="21"/>
              </w:rPr>
              <w:t>3</w:t>
            </w:r>
            <w:r>
              <w:rPr>
                <w:rFonts w:hint="eastAsia" w:ascii="宋体" w:hAnsi="宋体" w:cs="宋体"/>
                <w:kern w:val="0"/>
                <w:szCs w:val="21"/>
              </w:rPr>
              <w:t>分，差得</w:t>
            </w:r>
            <w:r>
              <w:rPr>
                <w:rFonts w:ascii="宋体" w:hAnsi="宋体" w:cs="宋体"/>
                <w:kern w:val="0"/>
                <w:szCs w:val="21"/>
              </w:rPr>
              <w:t>2</w:t>
            </w:r>
            <w:r>
              <w:rPr>
                <w:rFonts w:hint="eastAsia" w:ascii="宋体" w:hAnsi="宋体" w:cs="宋体"/>
                <w:kern w:val="0"/>
                <w:szCs w:val="21"/>
              </w:rPr>
              <w:t>分以下。</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426" w:hRule="exact"/>
          <w:jc w:val="center"/>
        </w:trPr>
        <w:tc>
          <w:tcPr>
            <w:tcW w:w="1271" w:type="dxa"/>
            <w:tcBorders>
              <w:bottom w:val="single" w:color="000000" w:sz="4" w:space="0"/>
            </w:tcBorders>
            <w:vAlign w:val="center"/>
          </w:tcPr>
          <w:p>
            <w:pPr>
              <w:snapToGrid w:val="0"/>
              <w:rPr>
                <w:rFonts w:ascii="宋体" w:cs="宋体"/>
                <w:b/>
                <w:color w:val="000000"/>
                <w:kern w:val="0"/>
                <w:szCs w:val="21"/>
              </w:rPr>
            </w:pPr>
            <w:r>
              <w:rPr>
                <w:rFonts w:hint="eastAsia" w:ascii="宋体" w:hAnsi="宋体" w:cs="宋体"/>
                <w:b/>
                <w:color w:val="000000"/>
                <w:kern w:val="0"/>
                <w:szCs w:val="21"/>
              </w:rPr>
              <w:t>总分</w:t>
            </w:r>
          </w:p>
        </w:tc>
        <w:tc>
          <w:tcPr>
            <w:tcW w:w="684" w:type="dxa"/>
            <w:tcBorders>
              <w:bottom w:val="single" w:color="000000" w:sz="4" w:space="0"/>
            </w:tcBorders>
            <w:vAlign w:val="center"/>
          </w:tcPr>
          <w:p>
            <w:pPr>
              <w:jc w:val="center"/>
              <w:rPr>
                <w:rFonts w:ascii="宋体" w:cs="宋体"/>
                <w:color w:val="000000"/>
                <w:kern w:val="0"/>
                <w:szCs w:val="21"/>
              </w:rPr>
            </w:pPr>
            <w:r>
              <w:rPr>
                <w:rFonts w:ascii="宋体" w:cs="宋体"/>
                <w:color w:val="000000"/>
                <w:kern w:val="0"/>
                <w:szCs w:val="21"/>
              </w:rPr>
              <w:t>100</w:t>
            </w:r>
          </w:p>
        </w:tc>
        <w:tc>
          <w:tcPr>
            <w:tcW w:w="5884" w:type="dxa"/>
            <w:tcBorders>
              <w:bottom w:val="single" w:color="000000" w:sz="4" w:space="0"/>
            </w:tcBorders>
            <w:vAlign w:val="center"/>
          </w:tcPr>
          <w:p>
            <w:pPr>
              <w:widowControl/>
              <w:rPr>
                <w:rFonts w:cs="宋体"/>
                <w:color w:val="000000"/>
                <w:kern w:val="0"/>
                <w:szCs w:val="21"/>
              </w:rPr>
            </w:pPr>
          </w:p>
        </w:tc>
        <w:tc>
          <w:tcPr>
            <w:tcW w:w="1041" w:type="dxa"/>
            <w:tcBorders>
              <w:bottom w:val="single" w:color="000000" w:sz="4" w:space="0"/>
            </w:tcBorders>
          </w:tcPr>
          <w:p>
            <w:pPr>
              <w:widowControl/>
              <w:rPr>
                <w:rFonts w:cs="宋体"/>
                <w:color w:val="000000"/>
                <w:kern w:val="0"/>
                <w:szCs w:val="21"/>
              </w:rPr>
            </w:pPr>
          </w:p>
        </w:tc>
      </w:tr>
    </w:tbl>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color w:val="000000"/>
          <w:kern w:val="0"/>
          <w:sz w:val="24"/>
          <w:lang w:val="zh-CN"/>
        </w:rPr>
        <w:t>★</w:t>
      </w:r>
      <w:r>
        <w:rPr>
          <w:rFonts w:hint="eastAsia" w:ascii="宋体" w:hAnsi="宋体" w:cs="宋体"/>
          <w:color w:val="000000"/>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hAnsi="宋体" w:cs="宋体"/>
          <w:color w:val="00000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）加</w:t>
      </w:r>
      <w:r>
        <w:rPr>
          <w:rFonts w:hint="eastAsia" w:ascii="宋体" w:hAnsi="宋体" w:cs="宋体"/>
          <w:color w:val="000000"/>
          <w:sz w:val="24"/>
        </w:rPr>
        <w:t>“★”的技术与商务指标为负偏离的；</w:t>
      </w:r>
    </w:p>
    <w:p>
      <w:pPr>
        <w:widowControl/>
        <w:spacing w:line="440" w:lineRule="exact"/>
        <w:ind w:firstLine="561"/>
        <w:jc w:val="left"/>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6</w:t>
      </w:r>
      <w:r>
        <w:rPr>
          <w:rFonts w:hint="eastAsia" w:ascii="宋体" w:hAnsi="宋体" w:cs="宋体"/>
          <w:color w:val="000000"/>
          <w:sz w:val="24"/>
        </w:rPr>
        <w:t>）标段1有2项未加“★”技术要求负偏离的；</w:t>
      </w:r>
    </w:p>
    <w:p>
      <w:pPr>
        <w:widowControl/>
        <w:spacing w:line="440" w:lineRule="exact"/>
        <w:ind w:firstLine="561"/>
        <w:jc w:val="left"/>
        <w:rPr>
          <w:rFonts w:ascii="宋体" w:cs="宋体"/>
          <w:color w:val="000000"/>
          <w:sz w:val="24"/>
        </w:rPr>
      </w:pPr>
      <w:r>
        <w:rPr>
          <w:rFonts w:hint="eastAsia" w:ascii="宋体" w:hAnsi="宋体" w:cs="宋体"/>
          <w:color w:val="000000"/>
          <w:sz w:val="24"/>
        </w:rPr>
        <w:t>（1</w:t>
      </w:r>
      <w:r>
        <w:rPr>
          <w:rFonts w:ascii="宋体" w:hAnsi="宋体" w:cs="宋体"/>
          <w:color w:val="000000"/>
          <w:sz w:val="24"/>
        </w:rPr>
        <w:t>7</w:t>
      </w:r>
      <w:r>
        <w:rPr>
          <w:rFonts w:hint="eastAsia" w:ascii="宋体" w:hAnsi="宋体" w:cs="宋体"/>
          <w:color w:val="000000"/>
          <w:sz w:val="24"/>
        </w:rPr>
        <w:t>）标段</w:t>
      </w:r>
      <w:r>
        <w:rPr>
          <w:rFonts w:ascii="宋体" w:hAnsi="宋体" w:cs="宋体"/>
          <w:color w:val="000000"/>
          <w:sz w:val="24"/>
        </w:rPr>
        <w:t>2</w:t>
      </w:r>
      <w:r>
        <w:rPr>
          <w:rFonts w:hint="eastAsia" w:ascii="宋体" w:hAnsi="宋体" w:cs="宋体"/>
          <w:color w:val="000000"/>
          <w:sz w:val="24"/>
        </w:rPr>
        <w:t>有</w:t>
      </w:r>
      <w:r>
        <w:rPr>
          <w:rFonts w:ascii="宋体" w:hAnsi="宋体" w:cs="宋体"/>
          <w:color w:val="000000"/>
          <w:sz w:val="24"/>
        </w:rPr>
        <w:t>3</w:t>
      </w:r>
      <w:r>
        <w:rPr>
          <w:rFonts w:hint="eastAsia" w:ascii="宋体" w:hAnsi="宋体" w:cs="宋体"/>
          <w:color w:val="000000"/>
          <w:sz w:val="24"/>
        </w:rPr>
        <w:t>项未加“★”技术要求负偏离的；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18</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19</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0"/>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为保证合同的顺利执行，标段1中标供应商必须在领取中标通知书之前，向采购人提交金额为3</w:t>
      </w:r>
      <w:r>
        <w:rPr>
          <w:rFonts w:ascii="宋体" w:hAnsi="宋体"/>
          <w:sz w:val="24"/>
          <w:szCs w:val="24"/>
        </w:rPr>
        <w:t>000</w:t>
      </w:r>
      <w:r>
        <w:rPr>
          <w:rFonts w:hint="eastAsia" w:ascii="宋体" w:hAnsi="宋体"/>
          <w:sz w:val="24"/>
          <w:szCs w:val="24"/>
        </w:rPr>
        <w:t>元的履约保证金，已交纳的投标保证金自动转为合同履约保证金。标段</w:t>
      </w:r>
      <w:r>
        <w:rPr>
          <w:rFonts w:ascii="宋体" w:hAnsi="宋体"/>
          <w:sz w:val="24"/>
          <w:szCs w:val="24"/>
        </w:rPr>
        <w:t>2</w:t>
      </w:r>
      <w:r>
        <w:rPr>
          <w:rFonts w:hint="eastAsia" w:ascii="宋体" w:hAnsi="宋体"/>
          <w:sz w:val="24"/>
          <w:szCs w:val="24"/>
        </w:rPr>
        <w:t>不需要交履约保证金。</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0"/>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技术联系人：陈老师，联系电话：</w:t>
      </w:r>
      <w:r>
        <w:rPr>
          <w:color w:val="000000"/>
          <w:sz w:val="24"/>
        </w:rPr>
        <w:t>13915158222</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招标办联系人：王老师、陆老师，联系电话：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11</w:t>
      </w:r>
      <w:r>
        <w:rPr>
          <w:rFonts w:hint="eastAsia"/>
          <w:color w:val="000000"/>
          <w:spacing w:val="15"/>
          <w:kern w:val="0"/>
          <w:sz w:val="24"/>
        </w:rPr>
        <w:t>月</w:t>
      </w:r>
      <w:r>
        <w:rPr>
          <w:color w:val="000000"/>
          <w:spacing w:val="15"/>
          <w:kern w:val="0"/>
          <w:sz w:val="24"/>
        </w:rPr>
        <w:t>1</w:t>
      </w:r>
      <w:r>
        <w:rPr>
          <w:rFonts w:hint="eastAsia"/>
          <w:color w:val="000000"/>
          <w:spacing w:val="15"/>
          <w:kern w:val="0"/>
          <w:sz w:val="24"/>
        </w:rPr>
        <w:t>5日</w:t>
      </w:r>
    </w:p>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p>
      <w:pPr>
        <w:ind w:firstLine="480" w:firstLineChars="200"/>
        <w:rPr>
          <w:color w:val="000000"/>
          <w:sz w:val="24"/>
          <w:szCs w:val="24"/>
        </w:rPr>
      </w:pPr>
      <w:r>
        <w:rPr>
          <w:rFonts w:hint="eastAsia"/>
          <w:color w:val="000000"/>
          <w:sz w:val="24"/>
          <w:szCs w:val="24"/>
        </w:rPr>
        <w:t>标段1：汽车事故数据读取工具</w:t>
      </w:r>
      <w:r>
        <w:rPr>
          <w:rFonts w:hint="eastAsia"/>
          <w:sz w:val="24"/>
          <w:szCs w:val="24"/>
        </w:rPr>
        <w:t>一台；标段2：</w:t>
      </w:r>
      <w:r>
        <w:rPr>
          <w:color w:val="000000"/>
          <w:sz w:val="24"/>
          <w:szCs w:val="24"/>
        </w:rPr>
        <w:t>汽车</w:t>
      </w:r>
      <w:r>
        <w:rPr>
          <w:rFonts w:hint="eastAsia"/>
          <w:color w:val="000000"/>
          <w:sz w:val="24"/>
          <w:szCs w:val="24"/>
        </w:rPr>
        <w:t>故障</w:t>
      </w:r>
      <w:r>
        <w:rPr>
          <w:color w:val="000000"/>
          <w:sz w:val="24"/>
          <w:szCs w:val="24"/>
        </w:rPr>
        <w:t>诊断</w:t>
      </w:r>
      <w:r>
        <w:rPr>
          <w:rFonts w:hint="eastAsia"/>
          <w:color w:val="000000"/>
          <w:sz w:val="24"/>
          <w:szCs w:val="24"/>
        </w:rPr>
        <w:t>仪二台</w:t>
      </w:r>
      <w:r>
        <w:rPr>
          <w:rFonts w:hint="eastAsia"/>
          <w:sz w:val="24"/>
          <w:szCs w:val="24"/>
        </w:rPr>
        <w:t>。</w:t>
      </w:r>
    </w:p>
    <w:p>
      <w:pPr>
        <w:spacing w:line="360" w:lineRule="auto"/>
        <w:ind w:firstLine="470" w:firstLineChars="196"/>
        <w:rPr>
          <w:color w:val="000000"/>
          <w:sz w:val="24"/>
          <w:lang w:val="zh-CN"/>
        </w:rPr>
      </w:pPr>
      <w:r>
        <w:rPr>
          <w:rFonts w:hint="eastAsia"/>
          <w:color w:val="000000"/>
          <w:sz w:val="24"/>
          <w:lang w:val="zh-CN"/>
        </w:rPr>
        <w:t>二、技术参数与性能要求</w:t>
      </w:r>
    </w:p>
    <w:p>
      <w:pPr>
        <w:widowControl/>
        <w:shd w:val="clear" w:color="auto" w:fill="FFFFFF"/>
        <w:spacing w:after="163" w:afterLines="50" w:line="440" w:lineRule="exact"/>
        <w:rPr>
          <w:b/>
          <w:color w:val="000000"/>
          <w:kern w:val="0"/>
          <w:sz w:val="28"/>
          <w:szCs w:val="28"/>
        </w:rPr>
      </w:pPr>
      <w:r>
        <w:rPr>
          <w:rFonts w:hint="eastAsia"/>
          <w:b/>
          <w:color w:val="000000"/>
          <w:kern w:val="0"/>
          <w:sz w:val="28"/>
          <w:szCs w:val="28"/>
        </w:rPr>
        <w:t>标段1：汽车事故数据读取工具</w:t>
      </w:r>
    </w:p>
    <w:tbl>
      <w:tblPr>
        <w:tblStyle w:val="12"/>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6"/>
        <w:gridCol w:w="67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736" w:type="dxa"/>
            <w:tcMar>
              <w:top w:w="15" w:type="dxa"/>
              <w:left w:w="15" w:type="dxa"/>
              <w:right w:w="15" w:type="dxa"/>
            </w:tcMar>
            <w:vAlign w:val="center"/>
          </w:tcPr>
          <w:p>
            <w:pPr>
              <w:widowControl/>
              <w:shd w:val="clear" w:color="auto" w:fill="FFFFFF"/>
              <w:spacing w:line="440" w:lineRule="exact"/>
              <w:ind w:firstLine="440"/>
              <w:rPr>
                <w:color w:val="000000"/>
                <w:kern w:val="0"/>
                <w:sz w:val="24"/>
              </w:rPr>
            </w:pPr>
            <w:r>
              <w:rPr>
                <w:rFonts w:hint="eastAsia"/>
                <w:color w:val="000000"/>
                <w:kern w:val="0"/>
                <w:sz w:val="24"/>
              </w:rPr>
              <w:t>性能参数</w:t>
            </w:r>
          </w:p>
        </w:tc>
        <w:tc>
          <w:tcPr>
            <w:tcW w:w="6764" w:type="dxa"/>
            <w:tcMar>
              <w:top w:w="15" w:type="dxa"/>
              <w:left w:w="15" w:type="dxa"/>
              <w:right w:w="15" w:type="dxa"/>
            </w:tcMar>
          </w:tcPr>
          <w:p>
            <w:pPr>
              <w:widowControl/>
              <w:shd w:val="clear" w:color="auto" w:fill="FFFFFF"/>
              <w:spacing w:line="440" w:lineRule="exact"/>
              <w:jc w:val="center"/>
              <w:rPr>
                <w:color w:val="000000"/>
                <w:kern w:val="0"/>
                <w:sz w:val="24"/>
              </w:rPr>
            </w:pPr>
            <w:r>
              <w:rPr>
                <w:rFonts w:hint="eastAsia"/>
                <w:color w:val="000000"/>
                <w:kern w:val="0"/>
                <w:sz w:val="24"/>
              </w:rPr>
              <w:t>技术要求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736" w:type="dxa"/>
            <w:noWrap/>
            <w:tcMar>
              <w:top w:w="15" w:type="dxa"/>
              <w:left w:w="15" w:type="dxa"/>
              <w:right w:w="15" w:type="dxa"/>
            </w:tcMar>
            <w:vAlign w:val="center"/>
          </w:tcPr>
          <w:p>
            <w:pPr>
              <w:widowControl/>
              <w:shd w:val="clear" w:color="auto" w:fill="FFFFFF"/>
              <w:spacing w:line="440" w:lineRule="exact"/>
              <w:jc w:val="left"/>
              <w:rPr>
                <w:color w:val="000000"/>
                <w:kern w:val="0"/>
                <w:sz w:val="24"/>
              </w:rPr>
            </w:pPr>
            <w:r>
              <w:rPr>
                <w:rFonts w:ascii="Segoe UI Symbol" w:hAnsi="Segoe UI Symbol" w:cs="Segoe UI Symbol"/>
                <w:color w:val="000000"/>
                <w:kern w:val="0"/>
                <w:sz w:val="24"/>
              </w:rPr>
              <w:t>★</w:t>
            </w:r>
            <w:r>
              <w:rPr>
                <w:rFonts w:hint="eastAsia"/>
                <w:color w:val="000000"/>
                <w:kern w:val="0"/>
                <w:sz w:val="24"/>
              </w:rPr>
              <w:t>车辆碰撞前</w:t>
            </w:r>
            <w:r>
              <w:rPr>
                <w:color w:val="000000"/>
                <w:kern w:val="0"/>
                <w:sz w:val="24"/>
              </w:rPr>
              <w:t>可以读取数据</w:t>
            </w:r>
            <w:r>
              <w:rPr>
                <w:rFonts w:hint="eastAsia"/>
                <w:color w:val="000000"/>
                <w:kern w:val="0"/>
                <w:sz w:val="24"/>
              </w:rPr>
              <w:t>参数</w:t>
            </w:r>
          </w:p>
        </w:tc>
        <w:tc>
          <w:tcPr>
            <w:tcW w:w="6764" w:type="dxa"/>
            <w:noWrap/>
            <w:tcMar>
              <w:top w:w="15" w:type="dxa"/>
              <w:left w:w="15" w:type="dxa"/>
              <w:right w:w="15" w:type="dxa"/>
            </w:tcMar>
            <w:vAlign w:val="center"/>
          </w:tcPr>
          <w:p>
            <w:pPr>
              <w:widowControl/>
              <w:shd w:val="clear" w:color="auto" w:fill="FFFFFF"/>
              <w:spacing w:line="400" w:lineRule="exact"/>
              <w:jc w:val="left"/>
              <w:rPr>
                <w:color w:val="000000"/>
                <w:kern w:val="0"/>
                <w:sz w:val="24"/>
              </w:rPr>
            </w:pPr>
            <w:r>
              <w:rPr>
                <w:color w:val="000000"/>
                <w:kern w:val="0"/>
                <w:sz w:val="24"/>
              </w:rPr>
              <w:t>车速，发动机节气门</w:t>
            </w:r>
            <w:r>
              <w:rPr>
                <w:rFonts w:hint="eastAsia"/>
                <w:color w:val="000000"/>
                <w:kern w:val="0"/>
                <w:sz w:val="24"/>
              </w:rPr>
              <w:t>位置，</w:t>
            </w:r>
            <w:r>
              <w:rPr>
                <w:color w:val="000000"/>
                <w:kern w:val="0"/>
                <w:sz w:val="24"/>
              </w:rPr>
              <w:t>加速踏板位置</w:t>
            </w:r>
            <w:r>
              <w:rPr>
                <w:rFonts w:hint="eastAsia"/>
                <w:color w:val="000000"/>
                <w:kern w:val="0"/>
                <w:sz w:val="24"/>
              </w:rPr>
              <w:t>，制动踏板位置，</w:t>
            </w:r>
            <w:r>
              <w:rPr>
                <w:color w:val="000000"/>
                <w:kern w:val="0"/>
                <w:sz w:val="24"/>
              </w:rPr>
              <w:t>方向盘转角</w:t>
            </w:r>
            <w:r>
              <w:rPr>
                <w:rFonts w:hint="eastAsia"/>
                <w:color w:val="000000"/>
                <w:kern w:val="0"/>
                <w:sz w:val="24"/>
              </w:rPr>
              <w:t>，发动机转速，ABS状态，电子稳定系统状态，</w:t>
            </w:r>
            <w:r>
              <w:rPr>
                <w:color w:val="000000"/>
                <w:kern w:val="0"/>
                <w:sz w:val="24"/>
              </w:rPr>
              <w:t>变速器位置</w:t>
            </w:r>
            <w:r>
              <w:rPr>
                <w:rFonts w:hint="eastAsia"/>
                <w:color w:val="000000"/>
                <w:kern w:val="0"/>
                <w:sz w:val="24"/>
              </w:rPr>
              <w:t>，车轮轮速，</w:t>
            </w:r>
            <w:r>
              <w:rPr>
                <w:color w:val="000000"/>
                <w:kern w:val="0"/>
                <w:sz w:val="24"/>
              </w:rPr>
              <w:t>轮胎胎压</w:t>
            </w:r>
            <w:r>
              <w:rPr>
                <w:rFonts w:hint="eastAsia"/>
                <w:color w:val="000000"/>
                <w:kern w:val="0"/>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736" w:type="dxa"/>
            <w:noWrap/>
            <w:tcMar>
              <w:top w:w="15" w:type="dxa"/>
              <w:left w:w="15" w:type="dxa"/>
              <w:right w:w="15" w:type="dxa"/>
            </w:tcMar>
            <w:vAlign w:val="center"/>
          </w:tcPr>
          <w:p>
            <w:pPr>
              <w:widowControl/>
              <w:shd w:val="clear" w:color="auto" w:fill="FFFFFF"/>
              <w:spacing w:line="440" w:lineRule="exact"/>
              <w:jc w:val="left"/>
              <w:rPr>
                <w:rFonts w:ascii="Segoe UI Symbol" w:hAnsi="Segoe UI Symbol" w:cs="Segoe UI Symbol"/>
                <w:color w:val="000000"/>
                <w:kern w:val="0"/>
                <w:sz w:val="24"/>
              </w:rPr>
            </w:pPr>
            <w:r>
              <w:rPr>
                <w:rFonts w:hint="eastAsia"/>
                <w:color w:val="000000"/>
                <w:kern w:val="0"/>
                <w:sz w:val="24"/>
              </w:rPr>
              <w:t>车辆碰撞后</w:t>
            </w:r>
            <w:r>
              <w:rPr>
                <w:color w:val="000000"/>
                <w:kern w:val="0"/>
                <w:sz w:val="24"/>
              </w:rPr>
              <w:t>可以读取数据</w:t>
            </w:r>
            <w:r>
              <w:rPr>
                <w:rFonts w:hint="eastAsia"/>
                <w:color w:val="000000"/>
                <w:kern w:val="0"/>
                <w:sz w:val="24"/>
              </w:rPr>
              <w:t>参数</w:t>
            </w:r>
          </w:p>
        </w:tc>
        <w:tc>
          <w:tcPr>
            <w:tcW w:w="6764" w:type="dxa"/>
            <w:noWrap/>
            <w:tcMar>
              <w:top w:w="15" w:type="dxa"/>
              <w:left w:w="15" w:type="dxa"/>
              <w:right w:w="15" w:type="dxa"/>
            </w:tcMar>
            <w:vAlign w:val="center"/>
          </w:tcPr>
          <w:p>
            <w:pPr>
              <w:widowControl/>
              <w:shd w:val="clear" w:color="auto" w:fill="FFFFFF"/>
              <w:spacing w:line="400" w:lineRule="exact"/>
              <w:jc w:val="left"/>
              <w:rPr>
                <w:color w:val="000000"/>
                <w:kern w:val="0"/>
                <w:sz w:val="24"/>
              </w:rPr>
            </w:pPr>
            <w:r>
              <w:rPr>
                <w:color w:val="000000"/>
                <w:kern w:val="0"/>
                <w:sz w:val="24"/>
              </w:rPr>
              <w:t>驾驶员侧安全带状态</w:t>
            </w:r>
            <w:r>
              <w:rPr>
                <w:rFonts w:hint="eastAsia"/>
                <w:color w:val="000000"/>
                <w:kern w:val="0"/>
                <w:sz w:val="24"/>
              </w:rPr>
              <w:t>，</w:t>
            </w:r>
            <w:r>
              <w:rPr>
                <w:color w:val="000000"/>
                <w:kern w:val="0"/>
                <w:sz w:val="24"/>
              </w:rPr>
              <w:t>乘客侧安全带状态</w:t>
            </w:r>
            <w:r>
              <w:rPr>
                <w:rFonts w:hint="eastAsia"/>
                <w:color w:val="000000"/>
                <w:kern w:val="0"/>
                <w:sz w:val="24"/>
              </w:rPr>
              <w:t>，</w:t>
            </w:r>
            <w:r>
              <w:rPr>
                <w:color w:val="000000"/>
                <w:kern w:val="0"/>
                <w:sz w:val="24"/>
              </w:rPr>
              <w:t>安全气囊打开数据</w:t>
            </w:r>
            <w:r>
              <w:rPr>
                <w:rFonts w:hint="eastAsia"/>
                <w:color w:val="000000"/>
                <w:kern w:val="0"/>
                <w:sz w:val="24"/>
              </w:rPr>
              <w:t>，</w:t>
            </w:r>
            <w:r>
              <w:rPr>
                <w:color w:val="000000"/>
                <w:kern w:val="0"/>
                <w:sz w:val="24"/>
              </w:rPr>
              <w:t>座椅安全带电路状态</w:t>
            </w:r>
            <w:r>
              <w:rPr>
                <w:rFonts w:hint="eastAsia"/>
                <w:color w:val="000000"/>
                <w:kern w:val="0"/>
                <w:sz w:val="24"/>
              </w:rPr>
              <w:t>，</w:t>
            </w:r>
            <w:r>
              <w:rPr>
                <w:color w:val="000000"/>
                <w:kern w:val="0"/>
                <w:sz w:val="24"/>
              </w:rPr>
              <w:t>EDR数据记录状态</w:t>
            </w:r>
            <w:r>
              <w:rPr>
                <w:rFonts w:hint="eastAsia"/>
                <w:color w:val="000000"/>
                <w:kern w:val="0"/>
                <w:sz w:val="24"/>
              </w:rPr>
              <w:t>，</w:t>
            </w:r>
            <w:r>
              <w:rPr>
                <w:color w:val="000000"/>
                <w:kern w:val="0"/>
                <w:sz w:val="24"/>
              </w:rPr>
              <w:t>纵向速度变化</w:t>
            </w:r>
            <w:r>
              <w:rPr>
                <w:rFonts w:hint="eastAsia"/>
                <w:color w:val="000000"/>
                <w:kern w:val="0"/>
                <w:sz w:val="24"/>
              </w:rPr>
              <w:t>，</w:t>
            </w:r>
            <w:r>
              <w:rPr>
                <w:color w:val="000000"/>
                <w:kern w:val="0"/>
                <w:sz w:val="24"/>
              </w:rPr>
              <w:t>横向速度变化</w:t>
            </w:r>
            <w:r>
              <w:rPr>
                <w:rFonts w:hint="eastAsia"/>
                <w:color w:val="000000"/>
                <w:kern w:val="0"/>
                <w:sz w:val="24"/>
              </w:rPr>
              <w:t>，</w:t>
            </w:r>
            <w:r>
              <w:rPr>
                <w:color w:val="000000"/>
                <w:kern w:val="0"/>
                <w:sz w:val="24"/>
              </w:rPr>
              <w:t>前/后/侧向加速度</w:t>
            </w:r>
            <w:r>
              <w:rPr>
                <w:rFonts w:hint="eastAsia"/>
                <w:color w:val="000000"/>
                <w:kern w:val="0"/>
                <w:sz w:val="24"/>
              </w:rPr>
              <w:t>，</w:t>
            </w:r>
            <w:r>
              <w:rPr>
                <w:color w:val="000000"/>
                <w:kern w:val="0"/>
                <w:sz w:val="24"/>
              </w:rPr>
              <w:t>偏航角速度</w:t>
            </w:r>
            <w:r>
              <w:rPr>
                <w:rFonts w:hint="eastAsia"/>
                <w:color w:val="000000"/>
                <w:kern w:val="0"/>
                <w:sz w:val="24"/>
              </w:rPr>
              <w:t>，</w:t>
            </w:r>
            <w:r>
              <w:rPr>
                <w:color w:val="000000"/>
                <w:kern w:val="0"/>
                <w:sz w:val="24"/>
              </w:rPr>
              <w:t>稳定控制系统状态</w:t>
            </w:r>
            <w:r>
              <w:rPr>
                <w:rFonts w:hint="eastAsia"/>
                <w:color w:val="000000"/>
                <w:kern w:val="0"/>
                <w:sz w:val="24"/>
              </w:rPr>
              <w:t>，</w:t>
            </w:r>
            <w:r>
              <w:rPr>
                <w:color w:val="000000"/>
                <w:kern w:val="0"/>
                <w:sz w:val="24"/>
              </w:rPr>
              <w:t>巡航控制状态</w:t>
            </w:r>
            <w:r>
              <w:rPr>
                <w:rFonts w:hint="eastAsia"/>
                <w:color w:val="000000"/>
                <w:kern w:val="0"/>
                <w:sz w:val="24"/>
              </w:rPr>
              <w:t>，</w:t>
            </w:r>
            <w:r>
              <w:rPr>
                <w:color w:val="000000"/>
                <w:kern w:val="0"/>
                <w:sz w:val="24"/>
              </w:rPr>
              <w:t>驾驶模式</w:t>
            </w:r>
            <w:r>
              <w:rPr>
                <w:rFonts w:hint="eastAsia"/>
                <w:color w:val="000000"/>
                <w:kern w:val="0"/>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736" w:type="dxa"/>
            <w:noWrap/>
            <w:tcMar>
              <w:top w:w="15" w:type="dxa"/>
              <w:left w:w="15" w:type="dxa"/>
              <w:right w:w="15" w:type="dxa"/>
            </w:tcMar>
            <w:vAlign w:val="center"/>
          </w:tcPr>
          <w:p>
            <w:pPr>
              <w:widowControl/>
              <w:shd w:val="clear" w:color="auto" w:fill="FFFFFF"/>
              <w:spacing w:line="440" w:lineRule="exact"/>
              <w:jc w:val="left"/>
              <w:rPr>
                <w:color w:val="000000"/>
                <w:kern w:val="0"/>
                <w:sz w:val="24"/>
              </w:rPr>
            </w:pPr>
            <w:r>
              <w:rPr>
                <w:rFonts w:ascii="Segoe UI Symbol" w:hAnsi="Segoe UI Symbol" w:cs="Segoe UI Symbol"/>
                <w:color w:val="000000"/>
                <w:kern w:val="0"/>
                <w:sz w:val="24"/>
              </w:rPr>
              <w:t>★</w:t>
            </w:r>
            <w:r>
              <w:rPr>
                <w:color w:val="000000"/>
                <w:kern w:val="0"/>
                <w:sz w:val="24"/>
              </w:rPr>
              <w:t>可以读取的车型</w:t>
            </w:r>
          </w:p>
        </w:tc>
        <w:tc>
          <w:tcPr>
            <w:tcW w:w="6764" w:type="dxa"/>
            <w:noWrap/>
            <w:tcMar>
              <w:top w:w="15" w:type="dxa"/>
              <w:left w:w="15" w:type="dxa"/>
              <w:right w:w="15" w:type="dxa"/>
            </w:tcMar>
            <w:vAlign w:val="center"/>
          </w:tcPr>
          <w:p>
            <w:pPr>
              <w:widowControl/>
              <w:shd w:val="clear" w:color="auto" w:fill="FFFFFF"/>
              <w:spacing w:line="400" w:lineRule="exact"/>
              <w:jc w:val="left"/>
              <w:rPr>
                <w:color w:val="000000"/>
                <w:kern w:val="0"/>
                <w:sz w:val="24"/>
              </w:rPr>
            </w:pPr>
            <w:r>
              <w:rPr>
                <w:color w:val="000000"/>
                <w:kern w:val="0"/>
                <w:sz w:val="24"/>
              </w:rPr>
              <w:t>通用(GM)----Cadillac</w:t>
            </w:r>
            <w:r>
              <w:rPr>
                <w:rFonts w:hint="eastAsia"/>
                <w:color w:val="000000"/>
                <w:kern w:val="0"/>
                <w:sz w:val="24"/>
              </w:rPr>
              <w:t>、</w:t>
            </w:r>
            <w:r>
              <w:rPr>
                <w:color w:val="000000"/>
                <w:kern w:val="0"/>
                <w:sz w:val="24"/>
              </w:rPr>
              <w:t>Buick</w:t>
            </w:r>
            <w:r>
              <w:rPr>
                <w:rFonts w:hint="eastAsia"/>
                <w:color w:val="000000"/>
                <w:kern w:val="0"/>
                <w:sz w:val="24"/>
              </w:rPr>
              <w:t>、</w:t>
            </w:r>
            <w:r>
              <w:rPr>
                <w:color w:val="000000"/>
                <w:kern w:val="0"/>
                <w:sz w:val="24"/>
              </w:rPr>
              <w:t>Chevrolet</w:t>
            </w:r>
            <w:r>
              <w:rPr>
                <w:rFonts w:hint="eastAsia"/>
                <w:color w:val="000000"/>
                <w:kern w:val="0"/>
                <w:sz w:val="24"/>
              </w:rPr>
              <w:t>；</w:t>
            </w:r>
          </w:p>
          <w:p>
            <w:pPr>
              <w:widowControl/>
              <w:shd w:val="clear" w:color="auto" w:fill="FFFFFF"/>
              <w:spacing w:line="400" w:lineRule="exact"/>
              <w:jc w:val="left"/>
              <w:rPr>
                <w:color w:val="000000"/>
                <w:kern w:val="0"/>
                <w:sz w:val="24"/>
              </w:rPr>
            </w:pPr>
            <w:r>
              <w:rPr>
                <w:color w:val="000000"/>
                <w:kern w:val="0"/>
                <w:sz w:val="24"/>
              </w:rPr>
              <w:t>菲亚特</w:t>
            </w:r>
            <w:r>
              <w:rPr>
                <w:rFonts w:hint="eastAsia"/>
                <w:color w:val="000000"/>
                <w:kern w:val="0"/>
                <w:sz w:val="24"/>
              </w:rPr>
              <w:t>，</w:t>
            </w:r>
            <w:r>
              <w:rPr>
                <w:color w:val="000000"/>
                <w:kern w:val="0"/>
                <w:sz w:val="24"/>
              </w:rPr>
              <w:t>克莱斯勒(FCA)----Chrysler</w:t>
            </w:r>
            <w:r>
              <w:rPr>
                <w:rFonts w:hint="eastAsia"/>
                <w:color w:val="000000"/>
                <w:kern w:val="0"/>
                <w:sz w:val="24"/>
              </w:rPr>
              <w:t>、</w:t>
            </w:r>
            <w:r>
              <w:rPr>
                <w:color w:val="000000"/>
                <w:kern w:val="0"/>
                <w:sz w:val="24"/>
              </w:rPr>
              <w:t>Jeep</w:t>
            </w:r>
            <w:r>
              <w:rPr>
                <w:rFonts w:hint="eastAsia"/>
                <w:color w:val="000000"/>
                <w:kern w:val="0"/>
                <w:sz w:val="24"/>
              </w:rPr>
              <w:t>、</w:t>
            </w:r>
            <w:r>
              <w:rPr>
                <w:color w:val="000000"/>
                <w:kern w:val="0"/>
                <w:sz w:val="24"/>
              </w:rPr>
              <w:t>Dodge</w:t>
            </w:r>
            <w:r>
              <w:rPr>
                <w:rFonts w:hint="eastAsia"/>
                <w:color w:val="000000"/>
                <w:kern w:val="0"/>
                <w:sz w:val="24"/>
              </w:rPr>
              <w:t>、</w:t>
            </w:r>
            <w:r>
              <w:rPr>
                <w:color w:val="000000"/>
                <w:kern w:val="0"/>
                <w:sz w:val="24"/>
              </w:rPr>
              <w:t>部分Fiat</w:t>
            </w:r>
            <w:r>
              <w:rPr>
                <w:rFonts w:hint="eastAsia"/>
                <w:color w:val="000000"/>
                <w:kern w:val="0"/>
                <w:sz w:val="24"/>
              </w:rPr>
              <w:t>；</w:t>
            </w:r>
          </w:p>
          <w:p>
            <w:pPr>
              <w:widowControl/>
              <w:shd w:val="clear" w:color="auto" w:fill="FFFFFF"/>
              <w:spacing w:line="400" w:lineRule="exact"/>
              <w:jc w:val="left"/>
              <w:rPr>
                <w:color w:val="000000"/>
                <w:kern w:val="0"/>
                <w:sz w:val="24"/>
              </w:rPr>
            </w:pPr>
            <w:r>
              <w:rPr>
                <w:color w:val="000000"/>
                <w:kern w:val="0"/>
                <w:sz w:val="24"/>
              </w:rPr>
              <w:t>丰田(Toyota Group)----Lexus、Toyota</w:t>
            </w:r>
            <w:r>
              <w:rPr>
                <w:rFonts w:hint="eastAsia"/>
                <w:color w:val="000000"/>
                <w:kern w:val="0"/>
                <w:sz w:val="24"/>
              </w:rPr>
              <w:t>；</w:t>
            </w:r>
          </w:p>
          <w:p>
            <w:pPr>
              <w:widowControl/>
              <w:shd w:val="clear" w:color="auto" w:fill="FFFFFF"/>
              <w:spacing w:line="400" w:lineRule="exact"/>
              <w:jc w:val="left"/>
              <w:rPr>
                <w:color w:val="000000"/>
                <w:kern w:val="0"/>
                <w:sz w:val="24"/>
              </w:rPr>
            </w:pPr>
            <w:r>
              <w:rPr>
                <w:color w:val="000000"/>
                <w:kern w:val="0"/>
                <w:sz w:val="24"/>
              </w:rPr>
              <w:t>沃尔沃(Volvo)----Volvo 60</w:t>
            </w:r>
            <w:r>
              <w:rPr>
                <w:rFonts w:hint="eastAsia"/>
                <w:color w:val="000000"/>
                <w:kern w:val="0"/>
                <w:sz w:val="24"/>
              </w:rPr>
              <w:t>，</w:t>
            </w:r>
            <w:r>
              <w:rPr>
                <w:color w:val="000000"/>
                <w:kern w:val="0"/>
                <w:sz w:val="24"/>
              </w:rPr>
              <w:t>70</w:t>
            </w:r>
            <w:r>
              <w:rPr>
                <w:rFonts w:hint="eastAsia"/>
                <w:color w:val="000000"/>
                <w:kern w:val="0"/>
                <w:sz w:val="24"/>
              </w:rPr>
              <w:t>，</w:t>
            </w:r>
            <w:r>
              <w:rPr>
                <w:color w:val="000000"/>
                <w:kern w:val="0"/>
                <w:sz w:val="24"/>
              </w:rPr>
              <w:t>80</w:t>
            </w:r>
            <w:r>
              <w:rPr>
                <w:rFonts w:hint="eastAsia"/>
                <w:color w:val="000000"/>
                <w:kern w:val="0"/>
                <w:sz w:val="24"/>
              </w:rPr>
              <w:t>；</w:t>
            </w:r>
          </w:p>
          <w:p>
            <w:pPr>
              <w:widowControl/>
              <w:shd w:val="clear" w:color="auto" w:fill="FFFFFF"/>
              <w:spacing w:line="400" w:lineRule="exact"/>
              <w:jc w:val="left"/>
              <w:rPr>
                <w:color w:val="000000"/>
                <w:kern w:val="0"/>
                <w:sz w:val="24"/>
              </w:rPr>
            </w:pPr>
            <w:r>
              <w:rPr>
                <w:color w:val="000000"/>
                <w:kern w:val="0"/>
                <w:sz w:val="24"/>
              </w:rPr>
              <w:t>奥迪2018---- Audi A6，S6，A7，S7，R7，A8，S8和部分A3，S3</w:t>
            </w:r>
            <w:r>
              <w:rPr>
                <w:rFonts w:hint="eastAsia"/>
                <w:color w:val="000000"/>
                <w:kern w:val="0"/>
                <w:sz w:val="24"/>
              </w:rPr>
              <w:t>；</w:t>
            </w:r>
          </w:p>
          <w:p>
            <w:pPr>
              <w:widowControl/>
              <w:shd w:val="clear" w:color="auto" w:fill="FFFFFF"/>
              <w:spacing w:line="400" w:lineRule="exact"/>
              <w:jc w:val="left"/>
              <w:rPr>
                <w:color w:val="000000"/>
                <w:kern w:val="0"/>
                <w:sz w:val="24"/>
              </w:rPr>
            </w:pPr>
            <w:r>
              <w:rPr>
                <w:color w:val="000000"/>
                <w:kern w:val="0"/>
                <w:sz w:val="24"/>
              </w:rPr>
              <w:t>大众2018~2019----Passat</w:t>
            </w:r>
            <w:r>
              <w:rPr>
                <w:rFonts w:hint="eastAsia"/>
                <w:color w:val="000000"/>
                <w:kern w:val="0"/>
                <w:sz w:val="24"/>
              </w:rPr>
              <w:t>，</w:t>
            </w:r>
            <w:r>
              <w:rPr>
                <w:color w:val="000000"/>
                <w:kern w:val="0"/>
                <w:sz w:val="24"/>
              </w:rPr>
              <w:t>Polo</w:t>
            </w:r>
            <w:r>
              <w:rPr>
                <w:rFonts w:hint="eastAsia"/>
                <w:color w:val="000000"/>
                <w:kern w:val="0"/>
                <w:sz w:val="24"/>
              </w:rPr>
              <w:t>，</w:t>
            </w:r>
            <w:r>
              <w:rPr>
                <w:color w:val="000000"/>
                <w:kern w:val="0"/>
                <w:sz w:val="24"/>
              </w:rPr>
              <w:t>途安，途观，途锐</w:t>
            </w:r>
            <w:r>
              <w:rPr>
                <w:rFonts w:hint="eastAsia"/>
                <w:color w:val="000000"/>
                <w:kern w:val="0"/>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736" w:type="dxa"/>
            <w:noWrap/>
            <w:tcMar>
              <w:top w:w="15" w:type="dxa"/>
              <w:left w:w="15" w:type="dxa"/>
              <w:right w:w="15" w:type="dxa"/>
            </w:tcMar>
            <w:vAlign w:val="center"/>
          </w:tcPr>
          <w:p>
            <w:pPr>
              <w:widowControl/>
              <w:shd w:val="clear" w:color="auto" w:fill="FFFFFF"/>
              <w:spacing w:line="440" w:lineRule="exact"/>
              <w:jc w:val="left"/>
              <w:rPr>
                <w:color w:val="000000"/>
                <w:kern w:val="0"/>
                <w:sz w:val="24"/>
              </w:rPr>
            </w:pPr>
            <w:r>
              <w:rPr>
                <w:rFonts w:ascii="Segoe UI Symbol" w:hAnsi="Segoe UI Symbol" w:cs="Segoe UI Symbol"/>
                <w:color w:val="000000"/>
                <w:kern w:val="0"/>
                <w:sz w:val="24"/>
              </w:rPr>
              <w:t>★</w:t>
            </w:r>
            <w:r>
              <w:rPr>
                <w:rFonts w:hint="eastAsia"/>
                <w:color w:val="000000"/>
                <w:kern w:val="0"/>
                <w:sz w:val="24"/>
              </w:rPr>
              <w:t>数据读取方式</w:t>
            </w:r>
          </w:p>
        </w:tc>
        <w:tc>
          <w:tcPr>
            <w:tcW w:w="6764" w:type="dxa"/>
            <w:noWrap/>
            <w:tcMar>
              <w:top w:w="15" w:type="dxa"/>
              <w:left w:w="15" w:type="dxa"/>
              <w:right w:w="15" w:type="dxa"/>
            </w:tcMar>
            <w:vAlign w:val="center"/>
          </w:tcPr>
          <w:p>
            <w:pPr>
              <w:widowControl/>
              <w:shd w:val="clear" w:color="auto" w:fill="FFFFFF"/>
              <w:spacing w:line="400" w:lineRule="exact"/>
              <w:jc w:val="left"/>
              <w:rPr>
                <w:color w:val="000000"/>
                <w:kern w:val="0"/>
                <w:sz w:val="24"/>
              </w:rPr>
            </w:pPr>
            <w:r>
              <w:rPr>
                <w:rFonts w:hint="eastAsia"/>
                <w:color w:val="000000"/>
                <w:kern w:val="0"/>
                <w:sz w:val="24"/>
              </w:rPr>
              <w:t>OBD接口读取，ACM模块读取。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736" w:type="dxa"/>
            <w:noWrap/>
            <w:tcMar>
              <w:top w:w="15" w:type="dxa"/>
              <w:left w:w="15" w:type="dxa"/>
              <w:right w:w="15" w:type="dxa"/>
            </w:tcMar>
            <w:vAlign w:val="center"/>
          </w:tcPr>
          <w:p>
            <w:pPr>
              <w:widowControl/>
              <w:shd w:val="clear" w:color="auto" w:fill="FFFFFF"/>
              <w:spacing w:line="440" w:lineRule="exact"/>
              <w:jc w:val="left"/>
              <w:rPr>
                <w:color w:val="000000"/>
                <w:kern w:val="0"/>
                <w:sz w:val="24"/>
              </w:rPr>
            </w:pPr>
            <w:r>
              <w:rPr>
                <w:rFonts w:hint="eastAsia"/>
                <w:color w:val="000000"/>
                <w:kern w:val="0"/>
                <w:sz w:val="24"/>
              </w:rPr>
              <w:t>数据转换类型</w:t>
            </w:r>
          </w:p>
        </w:tc>
        <w:tc>
          <w:tcPr>
            <w:tcW w:w="6764" w:type="dxa"/>
            <w:noWrap/>
            <w:tcMar>
              <w:top w:w="15" w:type="dxa"/>
              <w:left w:w="15" w:type="dxa"/>
              <w:right w:w="15" w:type="dxa"/>
            </w:tcMar>
            <w:vAlign w:val="center"/>
          </w:tcPr>
          <w:p>
            <w:pPr>
              <w:widowControl/>
              <w:shd w:val="clear" w:color="auto" w:fill="FFFFFF"/>
              <w:spacing w:line="400" w:lineRule="exact"/>
              <w:jc w:val="left"/>
              <w:rPr>
                <w:color w:val="000000"/>
                <w:kern w:val="0"/>
                <w:sz w:val="24"/>
              </w:rPr>
            </w:pPr>
            <w:r>
              <w:rPr>
                <w:rFonts w:hint="eastAsia"/>
                <w:color w:val="000000"/>
                <w:kern w:val="0"/>
                <w:sz w:val="24"/>
              </w:rPr>
              <w:t>读取的数据可以转换成PDF和CSV文件存储。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736" w:type="dxa"/>
            <w:noWrap/>
            <w:tcMar>
              <w:top w:w="15" w:type="dxa"/>
              <w:left w:w="15" w:type="dxa"/>
              <w:right w:w="15" w:type="dxa"/>
            </w:tcMar>
            <w:vAlign w:val="center"/>
          </w:tcPr>
          <w:p>
            <w:pPr>
              <w:widowControl/>
              <w:shd w:val="clear" w:color="auto" w:fill="FFFFFF"/>
              <w:spacing w:line="440" w:lineRule="exact"/>
              <w:jc w:val="left"/>
              <w:rPr>
                <w:color w:val="000000"/>
                <w:kern w:val="0"/>
                <w:sz w:val="24"/>
              </w:rPr>
            </w:pPr>
            <w:r>
              <w:rPr>
                <w:rFonts w:hint="eastAsia"/>
                <w:color w:val="000000"/>
                <w:kern w:val="0"/>
                <w:sz w:val="24"/>
              </w:rPr>
              <w:t>CDR报告内容</w:t>
            </w:r>
          </w:p>
        </w:tc>
        <w:tc>
          <w:tcPr>
            <w:tcW w:w="6764" w:type="dxa"/>
            <w:noWrap/>
            <w:tcMar>
              <w:top w:w="15" w:type="dxa"/>
              <w:left w:w="15" w:type="dxa"/>
              <w:right w:w="15" w:type="dxa"/>
            </w:tcMar>
            <w:vAlign w:val="center"/>
          </w:tcPr>
          <w:p>
            <w:pPr>
              <w:widowControl/>
              <w:shd w:val="clear" w:color="auto" w:fill="FFFFFF"/>
              <w:spacing w:line="400" w:lineRule="exact"/>
              <w:jc w:val="left"/>
              <w:rPr>
                <w:color w:val="000000"/>
                <w:kern w:val="0"/>
                <w:sz w:val="24"/>
              </w:rPr>
            </w:pPr>
            <w:r>
              <w:rPr>
                <w:rFonts w:hint="eastAsia"/>
                <w:color w:val="000000"/>
                <w:kern w:val="0"/>
                <w:sz w:val="24"/>
              </w:rPr>
              <w:t>CDR文件信息，数据恢复时的系统状态，事故数据，1</w:t>
            </w:r>
            <w:r>
              <w:rPr>
                <w:color w:val="000000"/>
                <w:kern w:val="0"/>
                <w:sz w:val="24"/>
              </w:rPr>
              <w:t>6</w:t>
            </w:r>
            <w:r>
              <w:rPr>
                <w:rFonts w:hint="eastAsia"/>
                <w:color w:val="000000"/>
                <w:kern w:val="0"/>
                <w:sz w:val="24"/>
              </w:rPr>
              <w:t>进制数据。</w:t>
            </w:r>
          </w:p>
        </w:tc>
      </w:tr>
    </w:tbl>
    <w:p>
      <w:pPr>
        <w:widowControl/>
        <w:shd w:val="clear" w:color="auto" w:fill="FFFFFF"/>
        <w:spacing w:line="440" w:lineRule="exact"/>
        <w:ind w:firstLine="440"/>
        <w:rPr>
          <w:color w:val="000000"/>
          <w:kern w:val="0"/>
          <w:sz w:val="24"/>
        </w:rPr>
      </w:pPr>
    </w:p>
    <w:p>
      <w:pPr>
        <w:widowControl/>
        <w:shd w:val="clear" w:color="auto" w:fill="FFFFFF"/>
        <w:spacing w:after="163" w:afterLines="50" w:line="440" w:lineRule="exact"/>
        <w:rPr>
          <w:b/>
          <w:color w:val="000000"/>
          <w:kern w:val="0"/>
          <w:sz w:val="28"/>
          <w:szCs w:val="28"/>
        </w:rPr>
      </w:pPr>
      <w:r>
        <w:rPr>
          <w:rFonts w:hint="eastAsia"/>
          <w:b/>
          <w:color w:val="000000"/>
          <w:kern w:val="0"/>
          <w:sz w:val="28"/>
          <w:szCs w:val="28"/>
        </w:rPr>
        <w:t>标段2：</w:t>
      </w:r>
      <w:r>
        <w:rPr>
          <w:b/>
          <w:color w:val="000000"/>
          <w:kern w:val="0"/>
          <w:sz w:val="28"/>
          <w:szCs w:val="28"/>
        </w:rPr>
        <w:t>汽车</w:t>
      </w:r>
      <w:r>
        <w:rPr>
          <w:rFonts w:hint="eastAsia"/>
          <w:b/>
          <w:color w:val="000000"/>
          <w:kern w:val="0"/>
          <w:sz w:val="28"/>
          <w:szCs w:val="28"/>
        </w:rPr>
        <w:t>故障</w:t>
      </w:r>
      <w:r>
        <w:rPr>
          <w:b/>
          <w:color w:val="000000"/>
          <w:kern w:val="0"/>
          <w:sz w:val="28"/>
          <w:szCs w:val="28"/>
        </w:rPr>
        <w:t>诊断</w:t>
      </w:r>
      <w:r>
        <w:rPr>
          <w:rFonts w:hint="eastAsia"/>
          <w:b/>
          <w:color w:val="000000"/>
          <w:kern w:val="0"/>
          <w:sz w:val="28"/>
          <w:szCs w:val="28"/>
        </w:rPr>
        <w:t>仪</w:t>
      </w:r>
    </w:p>
    <w:tbl>
      <w:tblPr>
        <w:tblStyle w:val="12"/>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08"/>
        <w:gridCol w:w="65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908" w:type="dxa"/>
            <w:tcMar>
              <w:top w:w="15" w:type="dxa"/>
              <w:left w:w="15" w:type="dxa"/>
              <w:right w:w="15" w:type="dxa"/>
            </w:tcMar>
            <w:vAlign w:val="center"/>
          </w:tcPr>
          <w:p>
            <w:pPr>
              <w:widowControl/>
              <w:shd w:val="clear" w:color="auto" w:fill="FFFFFF"/>
              <w:spacing w:line="440" w:lineRule="exact"/>
              <w:jc w:val="center"/>
              <w:rPr>
                <w:color w:val="000000"/>
                <w:kern w:val="0"/>
                <w:sz w:val="24"/>
              </w:rPr>
            </w:pPr>
            <w:r>
              <w:rPr>
                <w:rFonts w:hint="eastAsia"/>
                <w:color w:val="000000"/>
                <w:kern w:val="0"/>
                <w:sz w:val="24"/>
              </w:rPr>
              <w:t>性能参数</w:t>
            </w:r>
          </w:p>
        </w:tc>
        <w:tc>
          <w:tcPr>
            <w:tcW w:w="6592" w:type="dxa"/>
            <w:tcMar>
              <w:top w:w="15" w:type="dxa"/>
              <w:left w:w="15" w:type="dxa"/>
              <w:right w:w="15" w:type="dxa"/>
            </w:tcMar>
          </w:tcPr>
          <w:p>
            <w:pPr>
              <w:widowControl/>
              <w:shd w:val="clear" w:color="auto" w:fill="FFFFFF"/>
              <w:spacing w:line="440" w:lineRule="exact"/>
              <w:jc w:val="center"/>
              <w:rPr>
                <w:color w:val="000000"/>
                <w:kern w:val="0"/>
                <w:sz w:val="24"/>
              </w:rPr>
            </w:pPr>
            <w:r>
              <w:rPr>
                <w:rFonts w:hint="eastAsia"/>
                <w:color w:val="000000"/>
                <w:kern w:val="0"/>
                <w:sz w:val="24"/>
              </w:rPr>
              <w:t>技术要求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908" w:type="dxa"/>
            <w:noWrap/>
            <w:tcMar>
              <w:top w:w="15" w:type="dxa"/>
              <w:left w:w="15" w:type="dxa"/>
              <w:right w:w="15" w:type="dxa"/>
            </w:tcMar>
            <w:vAlign w:val="center"/>
          </w:tcPr>
          <w:p>
            <w:pPr>
              <w:widowControl/>
              <w:shd w:val="clear" w:color="auto" w:fill="FFFFFF"/>
              <w:spacing w:line="440" w:lineRule="exact"/>
              <w:rPr>
                <w:color w:val="000000"/>
                <w:kern w:val="0"/>
                <w:sz w:val="24"/>
              </w:rPr>
            </w:pPr>
            <w:r>
              <w:rPr>
                <w:rFonts w:hint="eastAsia"/>
                <w:color w:val="000000"/>
                <w:kern w:val="0"/>
                <w:sz w:val="24"/>
              </w:rPr>
              <w:t>★</w:t>
            </w:r>
            <w:r>
              <w:rPr>
                <w:color w:val="000000"/>
                <w:kern w:val="0"/>
                <w:sz w:val="24"/>
              </w:rPr>
              <w:t>仪器类型</w:t>
            </w:r>
          </w:p>
        </w:tc>
        <w:tc>
          <w:tcPr>
            <w:tcW w:w="6592" w:type="dxa"/>
            <w:noWrap/>
            <w:tcMar>
              <w:top w:w="15" w:type="dxa"/>
              <w:left w:w="15" w:type="dxa"/>
              <w:right w:w="15" w:type="dxa"/>
            </w:tcMar>
            <w:vAlign w:val="center"/>
          </w:tcPr>
          <w:p>
            <w:pPr>
              <w:widowControl/>
              <w:shd w:val="clear" w:color="auto" w:fill="FFFFFF"/>
              <w:spacing w:line="440" w:lineRule="exact"/>
              <w:rPr>
                <w:color w:val="000000"/>
                <w:kern w:val="0"/>
                <w:sz w:val="24"/>
              </w:rPr>
            </w:pPr>
            <w:r>
              <w:rPr>
                <w:color w:val="000000"/>
                <w:kern w:val="0"/>
                <w:sz w:val="24"/>
              </w:rPr>
              <w:t>汽</w:t>
            </w:r>
            <w:r>
              <w:rPr>
                <w:rFonts w:hint="eastAsia"/>
                <w:color w:val="000000"/>
                <w:kern w:val="0"/>
                <w:sz w:val="24"/>
              </w:rPr>
              <w:t>油、柴油车两用故障诊断仪。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908" w:type="dxa"/>
            <w:noWrap/>
            <w:tcMar>
              <w:top w:w="15" w:type="dxa"/>
              <w:left w:w="15" w:type="dxa"/>
              <w:right w:w="15" w:type="dxa"/>
            </w:tcMar>
            <w:vAlign w:val="center"/>
          </w:tcPr>
          <w:p>
            <w:pPr>
              <w:widowControl/>
              <w:shd w:val="clear" w:color="auto" w:fill="FFFFFF"/>
              <w:spacing w:line="440" w:lineRule="exact"/>
              <w:rPr>
                <w:color w:val="000000"/>
                <w:kern w:val="0"/>
                <w:sz w:val="24"/>
              </w:rPr>
            </w:pPr>
            <w:r>
              <w:rPr>
                <w:rFonts w:hint="eastAsia"/>
                <w:color w:val="000000"/>
                <w:kern w:val="0"/>
                <w:sz w:val="24"/>
              </w:rPr>
              <w:t>★仪器功能</w:t>
            </w:r>
          </w:p>
        </w:tc>
        <w:tc>
          <w:tcPr>
            <w:tcW w:w="6592" w:type="dxa"/>
            <w:noWrap/>
            <w:tcMar>
              <w:top w:w="15" w:type="dxa"/>
              <w:left w:w="15" w:type="dxa"/>
              <w:right w:w="15" w:type="dxa"/>
            </w:tcMar>
            <w:vAlign w:val="center"/>
          </w:tcPr>
          <w:p>
            <w:pPr>
              <w:widowControl/>
              <w:shd w:val="clear" w:color="auto" w:fill="FFFFFF"/>
              <w:spacing w:line="440" w:lineRule="exact"/>
              <w:rPr>
                <w:color w:val="000000"/>
                <w:kern w:val="0"/>
                <w:sz w:val="24"/>
              </w:rPr>
            </w:pPr>
            <w:r>
              <w:rPr>
                <w:rFonts w:hint="eastAsia"/>
                <w:color w:val="000000"/>
                <w:kern w:val="0"/>
                <w:sz w:val="24"/>
              </w:rPr>
              <w:t>1、</w:t>
            </w:r>
            <w:r>
              <w:rPr>
                <w:color w:val="000000"/>
                <w:kern w:val="0"/>
                <w:sz w:val="24"/>
              </w:rPr>
              <w:t>汽</w:t>
            </w:r>
            <w:r>
              <w:rPr>
                <w:rFonts w:hint="eastAsia"/>
                <w:color w:val="000000"/>
                <w:kern w:val="0"/>
                <w:sz w:val="24"/>
              </w:rPr>
              <w:t>油、柴油车故障码诊断，清除故障码功能；</w:t>
            </w:r>
          </w:p>
          <w:p>
            <w:pPr>
              <w:widowControl/>
              <w:shd w:val="clear" w:color="auto" w:fill="FFFFFF"/>
              <w:spacing w:line="440" w:lineRule="exact"/>
              <w:rPr>
                <w:color w:val="000000"/>
                <w:kern w:val="0"/>
                <w:sz w:val="24"/>
              </w:rPr>
            </w:pPr>
            <w:r>
              <w:rPr>
                <w:color w:val="000000"/>
                <w:kern w:val="0"/>
                <w:sz w:val="24"/>
              </w:rPr>
              <w:t>2</w:t>
            </w:r>
            <w:r>
              <w:rPr>
                <w:rFonts w:hint="eastAsia"/>
                <w:color w:val="000000"/>
                <w:kern w:val="0"/>
                <w:sz w:val="24"/>
              </w:rPr>
              <w:t>、数据流显示支持数值和波形显示。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908" w:type="dxa"/>
            <w:noWrap/>
            <w:tcMar>
              <w:top w:w="15" w:type="dxa"/>
              <w:left w:w="15" w:type="dxa"/>
              <w:right w:w="15" w:type="dxa"/>
            </w:tcMar>
            <w:vAlign w:val="center"/>
          </w:tcPr>
          <w:p>
            <w:pPr>
              <w:widowControl/>
              <w:shd w:val="clear" w:color="auto" w:fill="FFFFFF"/>
              <w:spacing w:line="440" w:lineRule="exact"/>
              <w:rPr>
                <w:color w:val="000000"/>
                <w:kern w:val="0"/>
                <w:sz w:val="24"/>
              </w:rPr>
            </w:pPr>
            <w:r>
              <w:rPr>
                <w:color w:val="000000"/>
                <w:kern w:val="0"/>
                <w:sz w:val="24"/>
              </w:rPr>
              <w:t>数据流记录</w:t>
            </w:r>
            <w:r>
              <w:rPr>
                <w:rFonts w:hint="eastAsia"/>
                <w:color w:val="000000"/>
                <w:kern w:val="0"/>
                <w:sz w:val="24"/>
              </w:rPr>
              <w:t>功能</w:t>
            </w:r>
          </w:p>
        </w:tc>
        <w:tc>
          <w:tcPr>
            <w:tcW w:w="6592" w:type="dxa"/>
            <w:noWrap/>
            <w:tcMar>
              <w:top w:w="15" w:type="dxa"/>
              <w:left w:w="15" w:type="dxa"/>
              <w:right w:w="15" w:type="dxa"/>
            </w:tcMar>
            <w:vAlign w:val="center"/>
          </w:tcPr>
          <w:p>
            <w:pPr>
              <w:widowControl/>
              <w:shd w:val="clear" w:color="auto" w:fill="FFFFFF"/>
              <w:spacing w:line="440" w:lineRule="exact"/>
              <w:rPr>
                <w:color w:val="000000"/>
                <w:kern w:val="0"/>
                <w:sz w:val="24"/>
              </w:rPr>
            </w:pPr>
            <w:r>
              <w:rPr>
                <w:rFonts w:hint="eastAsia"/>
                <w:color w:val="000000"/>
                <w:kern w:val="0"/>
                <w:sz w:val="24"/>
              </w:rPr>
              <w:t>支持</w:t>
            </w:r>
            <w:r>
              <w:rPr>
                <w:color w:val="000000"/>
                <w:kern w:val="0"/>
                <w:sz w:val="24"/>
              </w:rPr>
              <w:t>数据流记录及对比功能。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908" w:type="dxa"/>
            <w:noWrap/>
            <w:tcMar>
              <w:top w:w="15" w:type="dxa"/>
              <w:left w:w="15" w:type="dxa"/>
              <w:right w:w="15" w:type="dxa"/>
            </w:tcMar>
            <w:vAlign w:val="center"/>
          </w:tcPr>
          <w:p>
            <w:pPr>
              <w:widowControl/>
              <w:shd w:val="clear" w:color="auto" w:fill="FFFFFF"/>
              <w:spacing w:line="440" w:lineRule="exact"/>
              <w:rPr>
                <w:color w:val="000000"/>
                <w:kern w:val="0"/>
                <w:sz w:val="24"/>
              </w:rPr>
            </w:pPr>
            <w:r>
              <w:rPr>
                <w:rFonts w:hint="eastAsia"/>
                <w:color w:val="000000"/>
                <w:kern w:val="0"/>
                <w:sz w:val="24"/>
              </w:rPr>
              <w:t>★</w:t>
            </w:r>
            <w:r>
              <w:rPr>
                <w:color w:val="000000"/>
                <w:kern w:val="0"/>
                <w:sz w:val="24"/>
              </w:rPr>
              <w:t>汽油车诊断支持</w:t>
            </w:r>
            <w:r>
              <w:rPr>
                <w:rFonts w:hint="eastAsia"/>
                <w:color w:val="000000"/>
                <w:kern w:val="0"/>
                <w:sz w:val="24"/>
              </w:rPr>
              <w:t>功能</w:t>
            </w:r>
          </w:p>
        </w:tc>
        <w:tc>
          <w:tcPr>
            <w:tcW w:w="6592" w:type="dxa"/>
            <w:noWrap/>
            <w:tcMar>
              <w:top w:w="15" w:type="dxa"/>
              <w:left w:w="15" w:type="dxa"/>
              <w:right w:w="15" w:type="dxa"/>
            </w:tcMar>
            <w:vAlign w:val="center"/>
          </w:tcPr>
          <w:p>
            <w:pPr>
              <w:widowControl/>
              <w:shd w:val="clear" w:color="auto" w:fill="FFFFFF"/>
              <w:spacing w:line="440" w:lineRule="exact"/>
              <w:rPr>
                <w:color w:val="000000"/>
                <w:kern w:val="0"/>
                <w:sz w:val="24"/>
              </w:rPr>
            </w:pPr>
            <w:r>
              <w:rPr>
                <w:color w:val="000000"/>
                <w:kern w:val="0"/>
                <w:sz w:val="24"/>
              </w:rPr>
              <w:t>节气门匹配、刹车片更换、</w:t>
            </w:r>
            <w:r>
              <w:rPr>
                <w:rFonts w:hint="eastAsia"/>
                <w:color w:val="000000"/>
                <w:kern w:val="0"/>
                <w:sz w:val="24"/>
              </w:rPr>
              <w:t>电池匹配</w:t>
            </w:r>
            <w:r>
              <w:rPr>
                <w:color w:val="000000"/>
                <w:kern w:val="0"/>
                <w:sz w:val="24"/>
              </w:rPr>
              <w:t>、ABS系统排气</w:t>
            </w:r>
            <w:r>
              <w:rPr>
                <w:rFonts w:hint="eastAsia"/>
                <w:color w:val="000000"/>
                <w:kern w:val="0"/>
                <w:sz w:val="24"/>
              </w:rPr>
              <w:t>，转向角复位、</w:t>
            </w:r>
            <w:r>
              <w:rPr>
                <w:color w:val="000000"/>
                <w:kern w:val="0"/>
                <w:sz w:val="24"/>
              </w:rPr>
              <w:t>胎压复位功能</w:t>
            </w:r>
            <w:r>
              <w:rPr>
                <w:rFonts w:hint="eastAsia"/>
                <w:color w:val="000000"/>
                <w:kern w:val="0"/>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908" w:type="dxa"/>
            <w:noWrap/>
            <w:tcMar>
              <w:top w:w="15" w:type="dxa"/>
              <w:left w:w="15" w:type="dxa"/>
              <w:right w:w="15" w:type="dxa"/>
            </w:tcMar>
            <w:vAlign w:val="center"/>
          </w:tcPr>
          <w:p>
            <w:pPr>
              <w:widowControl/>
              <w:shd w:val="clear" w:color="auto" w:fill="FFFFFF"/>
              <w:spacing w:line="440" w:lineRule="exact"/>
              <w:rPr>
                <w:color w:val="000000"/>
                <w:kern w:val="0"/>
                <w:sz w:val="24"/>
              </w:rPr>
            </w:pPr>
            <w:r>
              <w:rPr>
                <w:rFonts w:hint="eastAsia"/>
                <w:color w:val="000000"/>
                <w:kern w:val="0"/>
                <w:sz w:val="24"/>
              </w:rPr>
              <w:t>★柴油车适用系统</w:t>
            </w:r>
          </w:p>
        </w:tc>
        <w:tc>
          <w:tcPr>
            <w:tcW w:w="6592" w:type="dxa"/>
            <w:noWrap/>
            <w:tcMar>
              <w:top w:w="15" w:type="dxa"/>
              <w:left w:w="15" w:type="dxa"/>
              <w:right w:w="15" w:type="dxa"/>
            </w:tcMar>
            <w:vAlign w:val="center"/>
          </w:tcPr>
          <w:p>
            <w:pPr>
              <w:widowControl/>
              <w:shd w:val="clear" w:color="auto" w:fill="FFFFFF"/>
              <w:spacing w:line="440" w:lineRule="exact"/>
              <w:rPr>
                <w:color w:val="000000"/>
                <w:kern w:val="0"/>
                <w:sz w:val="24"/>
              </w:rPr>
            </w:pPr>
            <w:r>
              <w:rPr>
                <w:color w:val="000000"/>
                <w:kern w:val="0"/>
                <w:sz w:val="24"/>
              </w:rPr>
              <w:t>EDC17全系统；DeNox全系统</w:t>
            </w:r>
            <w:r>
              <w:rPr>
                <w:rFonts w:hint="eastAsia"/>
                <w:color w:val="000000"/>
                <w:kern w:val="0"/>
                <w:sz w:val="24"/>
              </w:rPr>
              <w:t>，以及国四、国五博世柴油系列全系统。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908" w:type="dxa"/>
            <w:noWrap/>
            <w:tcMar>
              <w:top w:w="15" w:type="dxa"/>
              <w:left w:w="15" w:type="dxa"/>
              <w:right w:w="15" w:type="dxa"/>
            </w:tcMar>
            <w:vAlign w:val="center"/>
          </w:tcPr>
          <w:p>
            <w:pPr>
              <w:widowControl/>
              <w:shd w:val="clear" w:color="auto" w:fill="FFFFFF"/>
              <w:spacing w:line="440" w:lineRule="exact"/>
              <w:rPr>
                <w:color w:val="000000"/>
                <w:kern w:val="0"/>
                <w:sz w:val="24"/>
              </w:rPr>
            </w:pPr>
            <w:r>
              <w:rPr>
                <w:rFonts w:hint="eastAsia"/>
                <w:color w:val="000000"/>
                <w:kern w:val="0"/>
                <w:sz w:val="24"/>
              </w:rPr>
              <w:t>★接口类型</w:t>
            </w:r>
          </w:p>
        </w:tc>
        <w:tc>
          <w:tcPr>
            <w:tcW w:w="6592" w:type="dxa"/>
            <w:noWrap/>
            <w:tcMar>
              <w:top w:w="15" w:type="dxa"/>
              <w:left w:w="15" w:type="dxa"/>
              <w:right w:w="15" w:type="dxa"/>
            </w:tcMar>
            <w:vAlign w:val="center"/>
          </w:tcPr>
          <w:p>
            <w:pPr>
              <w:widowControl/>
              <w:shd w:val="clear" w:color="auto" w:fill="FFFFFF"/>
              <w:spacing w:line="440" w:lineRule="exact"/>
              <w:rPr>
                <w:color w:val="000000"/>
                <w:kern w:val="0"/>
                <w:sz w:val="24"/>
              </w:rPr>
            </w:pPr>
            <w:r>
              <w:rPr>
                <w:color w:val="000000"/>
                <w:kern w:val="0"/>
                <w:sz w:val="24"/>
              </w:rPr>
              <w:t>OBDII</w:t>
            </w:r>
            <w:r>
              <w:rPr>
                <w:rFonts w:hint="eastAsia"/>
                <w:color w:val="000000"/>
                <w:kern w:val="0"/>
                <w:sz w:val="24"/>
              </w:rPr>
              <w:t>测试接头适用所有</w:t>
            </w:r>
            <w:r>
              <w:rPr>
                <w:color w:val="000000"/>
                <w:kern w:val="0"/>
                <w:sz w:val="24"/>
              </w:rPr>
              <w:t>16Pin</w:t>
            </w:r>
            <w:r>
              <w:rPr>
                <w:rFonts w:hint="eastAsia"/>
                <w:color w:val="000000"/>
                <w:kern w:val="0"/>
                <w:sz w:val="24"/>
              </w:rPr>
              <w:t>诊断座的车型测试。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908" w:type="dxa"/>
            <w:noWrap/>
            <w:tcMar>
              <w:top w:w="15" w:type="dxa"/>
              <w:left w:w="15" w:type="dxa"/>
              <w:right w:w="15" w:type="dxa"/>
            </w:tcMar>
            <w:vAlign w:val="center"/>
          </w:tcPr>
          <w:p>
            <w:pPr>
              <w:widowControl/>
              <w:shd w:val="clear" w:color="auto" w:fill="FFFFFF"/>
              <w:spacing w:line="440" w:lineRule="exact"/>
              <w:rPr>
                <w:color w:val="000000"/>
                <w:kern w:val="0"/>
                <w:sz w:val="24"/>
              </w:rPr>
            </w:pPr>
            <w:r>
              <w:rPr>
                <w:rFonts w:hint="eastAsia"/>
                <w:color w:val="000000"/>
                <w:kern w:val="0"/>
                <w:sz w:val="24"/>
              </w:rPr>
              <w:t>接口支持协议和测试模式</w:t>
            </w:r>
          </w:p>
        </w:tc>
        <w:tc>
          <w:tcPr>
            <w:tcW w:w="6592" w:type="dxa"/>
            <w:noWrap/>
            <w:tcMar>
              <w:top w:w="15" w:type="dxa"/>
              <w:left w:w="15" w:type="dxa"/>
              <w:right w:w="15" w:type="dxa"/>
            </w:tcMar>
            <w:vAlign w:val="center"/>
          </w:tcPr>
          <w:p>
            <w:pPr>
              <w:widowControl/>
              <w:shd w:val="clear" w:color="auto" w:fill="FFFFFF"/>
              <w:spacing w:line="440" w:lineRule="exact"/>
              <w:rPr>
                <w:color w:val="000000"/>
                <w:kern w:val="0"/>
                <w:sz w:val="24"/>
              </w:rPr>
            </w:pPr>
            <w:r>
              <w:rPr>
                <w:color w:val="000000"/>
                <w:kern w:val="0"/>
                <w:sz w:val="24"/>
              </w:rPr>
              <w:t>支持OBDII五种协议及九种测试模式</w:t>
            </w:r>
            <w:r>
              <w:rPr>
                <w:rFonts w:hint="eastAsia"/>
                <w:color w:val="000000"/>
                <w:kern w:val="0"/>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908" w:type="dxa"/>
            <w:noWrap/>
            <w:tcMar>
              <w:top w:w="15" w:type="dxa"/>
              <w:left w:w="15" w:type="dxa"/>
              <w:right w:w="15" w:type="dxa"/>
            </w:tcMar>
            <w:vAlign w:val="center"/>
          </w:tcPr>
          <w:p>
            <w:pPr>
              <w:widowControl/>
              <w:shd w:val="clear" w:color="auto" w:fill="FFFFFF"/>
              <w:spacing w:line="440" w:lineRule="exact"/>
              <w:rPr>
                <w:color w:val="000000"/>
                <w:kern w:val="0"/>
                <w:sz w:val="24"/>
              </w:rPr>
            </w:pPr>
            <w:r>
              <w:rPr>
                <w:color w:val="000000"/>
                <w:kern w:val="0"/>
                <w:sz w:val="24"/>
              </w:rPr>
              <w:t>处理器 </w:t>
            </w:r>
          </w:p>
        </w:tc>
        <w:tc>
          <w:tcPr>
            <w:tcW w:w="6592" w:type="dxa"/>
            <w:noWrap/>
            <w:tcMar>
              <w:top w:w="15" w:type="dxa"/>
              <w:left w:w="15" w:type="dxa"/>
              <w:right w:w="15" w:type="dxa"/>
            </w:tcMar>
            <w:vAlign w:val="center"/>
          </w:tcPr>
          <w:p>
            <w:pPr>
              <w:widowControl/>
              <w:shd w:val="clear" w:color="auto" w:fill="FFFFFF"/>
              <w:spacing w:line="440" w:lineRule="exact"/>
              <w:rPr>
                <w:color w:val="000000"/>
                <w:kern w:val="0"/>
                <w:sz w:val="24"/>
              </w:rPr>
            </w:pPr>
            <w:r>
              <w:rPr>
                <w:color w:val="000000"/>
                <w:kern w:val="0"/>
                <w:sz w:val="24"/>
              </w:rPr>
              <w:t>双核，Cortex-A8 </w:t>
            </w:r>
            <w:r>
              <w:rPr>
                <w:rFonts w:hint="eastAsia"/>
                <w:color w:val="000000"/>
                <w:kern w:val="0"/>
                <w:sz w:val="24"/>
              </w:rPr>
              <w:t>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908" w:type="dxa"/>
            <w:noWrap/>
            <w:tcMar>
              <w:top w:w="15" w:type="dxa"/>
              <w:left w:w="15" w:type="dxa"/>
              <w:right w:w="15" w:type="dxa"/>
            </w:tcMar>
            <w:vAlign w:val="center"/>
          </w:tcPr>
          <w:p>
            <w:pPr>
              <w:widowControl/>
              <w:shd w:val="clear" w:color="auto" w:fill="FFFFFF"/>
              <w:spacing w:line="440" w:lineRule="exact"/>
              <w:rPr>
                <w:color w:val="000000"/>
                <w:kern w:val="0"/>
                <w:sz w:val="24"/>
              </w:rPr>
            </w:pPr>
            <w:r>
              <w:rPr>
                <w:rFonts w:hint="eastAsia"/>
                <w:color w:val="000000"/>
                <w:kern w:val="0"/>
                <w:sz w:val="24"/>
              </w:rPr>
              <w:t>内存</w:t>
            </w:r>
          </w:p>
        </w:tc>
        <w:tc>
          <w:tcPr>
            <w:tcW w:w="6592" w:type="dxa"/>
            <w:noWrap/>
            <w:tcMar>
              <w:top w:w="15" w:type="dxa"/>
              <w:left w:w="15" w:type="dxa"/>
              <w:right w:w="15" w:type="dxa"/>
            </w:tcMar>
            <w:vAlign w:val="center"/>
          </w:tcPr>
          <w:p>
            <w:pPr>
              <w:widowControl/>
              <w:shd w:val="clear" w:color="auto" w:fill="FFFFFF"/>
              <w:spacing w:line="440" w:lineRule="exact"/>
              <w:rPr>
                <w:color w:val="000000"/>
                <w:kern w:val="0"/>
                <w:sz w:val="24"/>
              </w:rPr>
            </w:pPr>
            <w:r>
              <w:rPr>
                <w:rFonts w:hint="eastAsia"/>
                <w:color w:val="000000"/>
                <w:kern w:val="0"/>
                <w:sz w:val="24"/>
              </w:rPr>
              <w:t>5</w:t>
            </w:r>
            <w:r>
              <w:rPr>
                <w:color w:val="000000"/>
                <w:kern w:val="0"/>
                <w:sz w:val="24"/>
              </w:rPr>
              <w:t>12MB</w:t>
            </w:r>
            <w:r>
              <w:rPr>
                <w:rFonts w:hint="eastAsia"/>
                <w:color w:val="000000"/>
                <w:kern w:val="0"/>
                <w:sz w:val="24"/>
              </w:rPr>
              <w:t>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908" w:type="dxa"/>
            <w:noWrap/>
            <w:tcMar>
              <w:top w:w="15" w:type="dxa"/>
              <w:left w:w="15" w:type="dxa"/>
              <w:right w:w="15" w:type="dxa"/>
            </w:tcMar>
            <w:vAlign w:val="center"/>
          </w:tcPr>
          <w:p>
            <w:pPr>
              <w:widowControl/>
              <w:shd w:val="clear" w:color="auto" w:fill="FFFFFF"/>
              <w:spacing w:line="440" w:lineRule="exact"/>
              <w:rPr>
                <w:color w:val="000000"/>
                <w:kern w:val="0"/>
                <w:sz w:val="24"/>
              </w:rPr>
            </w:pPr>
            <w:r>
              <w:rPr>
                <w:color w:val="000000"/>
                <w:kern w:val="0"/>
                <w:sz w:val="24"/>
              </w:rPr>
              <w:t>显示屏</w:t>
            </w:r>
          </w:p>
        </w:tc>
        <w:tc>
          <w:tcPr>
            <w:tcW w:w="6592" w:type="dxa"/>
            <w:noWrap/>
            <w:tcMar>
              <w:top w:w="15" w:type="dxa"/>
              <w:left w:w="15" w:type="dxa"/>
              <w:right w:w="15" w:type="dxa"/>
            </w:tcMar>
            <w:vAlign w:val="center"/>
          </w:tcPr>
          <w:p>
            <w:pPr>
              <w:widowControl/>
              <w:shd w:val="clear" w:color="auto" w:fill="FFFFFF"/>
              <w:spacing w:line="440" w:lineRule="exact"/>
              <w:rPr>
                <w:color w:val="000000"/>
                <w:kern w:val="0"/>
                <w:sz w:val="24"/>
              </w:rPr>
            </w:pPr>
            <w:r>
              <w:rPr>
                <w:color w:val="000000"/>
                <w:kern w:val="0"/>
                <w:sz w:val="24"/>
              </w:rPr>
              <w:t>7英寸800*480LED真彩液晶</w:t>
            </w:r>
            <w:r>
              <w:rPr>
                <w:rFonts w:hint="eastAsia"/>
                <w:color w:val="000000"/>
                <w:kern w:val="0"/>
                <w:sz w:val="24"/>
              </w:rPr>
              <w:t>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908" w:type="dxa"/>
            <w:noWrap/>
            <w:tcMar>
              <w:top w:w="15" w:type="dxa"/>
              <w:left w:w="15" w:type="dxa"/>
              <w:right w:w="15" w:type="dxa"/>
            </w:tcMar>
            <w:vAlign w:val="center"/>
          </w:tcPr>
          <w:p>
            <w:pPr>
              <w:widowControl/>
              <w:shd w:val="clear" w:color="auto" w:fill="FFFFFF"/>
              <w:spacing w:line="440" w:lineRule="exact"/>
              <w:rPr>
                <w:color w:val="000000"/>
                <w:kern w:val="0"/>
                <w:sz w:val="24"/>
              </w:rPr>
            </w:pPr>
            <w:r>
              <w:rPr>
                <w:rFonts w:hint="eastAsia"/>
                <w:color w:val="000000"/>
                <w:kern w:val="0"/>
                <w:sz w:val="24"/>
              </w:rPr>
              <w:t>内存卡</w:t>
            </w:r>
          </w:p>
        </w:tc>
        <w:tc>
          <w:tcPr>
            <w:tcW w:w="6592" w:type="dxa"/>
            <w:noWrap/>
            <w:tcMar>
              <w:top w:w="15" w:type="dxa"/>
              <w:left w:w="15" w:type="dxa"/>
              <w:right w:w="15" w:type="dxa"/>
            </w:tcMar>
            <w:vAlign w:val="center"/>
          </w:tcPr>
          <w:p>
            <w:pPr>
              <w:widowControl/>
              <w:shd w:val="clear" w:color="auto" w:fill="FFFFFF"/>
              <w:spacing w:line="440" w:lineRule="exact"/>
              <w:rPr>
                <w:color w:val="000000"/>
                <w:kern w:val="0"/>
                <w:sz w:val="24"/>
              </w:rPr>
            </w:pPr>
            <w:r>
              <w:rPr>
                <w:color w:val="000000"/>
                <w:kern w:val="0"/>
                <w:sz w:val="24"/>
              </w:rPr>
              <w:t>16G</w:t>
            </w:r>
            <w:r>
              <w:rPr>
                <w:rFonts w:hint="eastAsia"/>
                <w:color w:val="000000"/>
                <w:kern w:val="0"/>
                <w:sz w:val="24"/>
              </w:rPr>
              <w:t>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908" w:type="dxa"/>
            <w:noWrap/>
            <w:tcMar>
              <w:top w:w="15" w:type="dxa"/>
              <w:left w:w="15" w:type="dxa"/>
              <w:right w:w="15" w:type="dxa"/>
            </w:tcMar>
            <w:vAlign w:val="center"/>
          </w:tcPr>
          <w:p>
            <w:pPr>
              <w:widowControl/>
              <w:shd w:val="clear" w:color="auto" w:fill="FFFFFF"/>
              <w:spacing w:line="440" w:lineRule="exact"/>
              <w:rPr>
                <w:color w:val="000000"/>
                <w:kern w:val="0"/>
                <w:sz w:val="24"/>
              </w:rPr>
            </w:pPr>
            <w:r>
              <w:rPr>
                <w:color w:val="000000"/>
                <w:kern w:val="0"/>
                <w:sz w:val="24"/>
              </w:rPr>
              <w:t>网络接口</w:t>
            </w:r>
          </w:p>
        </w:tc>
        <w:tc>
          <w:tcPr>
            <w:tcW w:w="6592" w:type="dxa"/>
            <w:noWrap/>
            <w:tcMar>
              <w:top w:w="15" w:type="dxa"/>
              <w:left w:w="15" w:type="dxa"/>
              <w:right w:w="15" w:type="dxa"/>
            </w:tcMar>
            <w:vAlign w:val="center"/>
          </w:tcPr>
          <w:p>
            <w:pPr>
              <w:widowControl/>
              <w:shd w:val="clear" w:color="auto" w:fill="FFFFFF"/>
              <w:spacing w:line="440" w:lineRule="exact"/>
              <w:rPr>
                <w:color w:val="000000"/>
                <w:kern w:val="0"/>
                <w:sz w:val="24"/>
              </w:rPr>
            </w:pPr>
            <w:r>
              <w:rPr>
                <w:color w:val="000000"/>
                <w:kern w:val="0"/>
                <w:sz w:val="24"/>
              </w:rPr>
              <w:t>LAN</w:t>
            </w:r>
            <w:r>
              <w:rPr>
                <w:rFonts w:hint="eastAsia"/>
                <w:color w:val="000000"/>
                <w:kern w:val="0"/>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908" w:type="dxa"/>
            <w:noWrap/>
            <w:tcMar>
              <w:top w:w="15" w:type="dxa"/>
              <w:left w:w="15" w:type="dxa"/>
              <w:right w:w="15" w:type="dxa"/>
            </w:tcMar>
            <w:vAlign w:val="center"/>
          </w:tcPr>
          <w:p>
            <w:pPr>
              <w:widowControl/>
              <w:shd w:val="clear" w:color="auto" w:fill="FFFFFF"/>
              <w:spacing w:line="440" w:lineRule="exact"/>
              <w:rPr>
                <w:color w:val="000000"/>
                <w:kern w:val="0"/>
                <w:sz w:val="24"/>
              </w:rPr>
            </w:pPr>
            <w:r>
              <w:rPr>
                <w:rFonts w:hint="eastAsia"/>
                <w:color w:val="000000"/>
                <w:kern w:val="0"/>
                <w:sz w:val="24"/>
              </w:rPr>
              <w:t>无线</w:t>
            </w:r>
          </w:p>
        </w:tc>
        <w:tc>
          <w:tcPr>
            <w:tcW w:w="6592" w:type="dxa"/>
            <w:noWrap/>
            <w:tcMar>
              <w:top w:w="15" w:type="dxa"/>
              <w:left w:w="15" w:type="dxa"/>
              <w:right w:w="15" w:type="dxa"/>
            </w:tcMar>
            <w:vAlign w:val="center"/>
          </w:tcPr>
          <w:p>
            <w:pPr>
              <w:widowControl/>
              <w:shd w:val="clear" w:color="auto" w:fill="FFFFFF"/>
              <w:spacing w:line="440" w:lineRule="exact"/>
              <w:rPr>
                <w:color w:val="000000"/>
                <w:kern w:val="0"/>
                <w:sz w:val="24"/>
              </w:rPr>
            </w:pPr>
            <w:r>
              <w:rPr>
                <w:rFonts w:hint="eastAsia"/>
                <w:color w:val="000000"/>
                <w:kern w:val="0"/>
                <w:sz w:val="24"/>
              </w:rPr>
              <w:t>WIFI。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908" w:type="dxa"/>
            <w:noWrap/>
            <w:tcMar>
              <w:top w:w="15" w:type="dxa"/>
              <w:left w:w="15" w:type="dxa"/>
              <w:right w:w="15" w:type="dxa"/>
            </w:tcMar>
            <w:vAlign w:val="center"/>
          </w:tcPr>
          <w:p>
            <w:pPr>
              <w:widowControl/>
              <w:shd w:val="clear" w:color="auto" w:fill="FFFFFF"/>
              <w:spacing w:line="440" w:lineRule="exact"/>
              <w:rPr>
                <w:color w:val="000000"/>
                <w:kern w:val="0"/>
                <w:sz w:val="24"/>
              </w:rPr>
            </w:pPr>
            <w:r>
              <w:rPr>
                <w:rFonts w:hint="eastAsia"/>
                <w:color w:val="000000"/>
                <w:kern w:val="0"/>
                <w:sz w:val="24"/>
              </w:rPr>
              <w:t>其它功能</w:t>
            </w:r>
          </w:p>
        </w:tc>
        <w:tc>
          <w:tcPr>
            <w:tcW w:w="6592" w:type="dxa"/>
            <w:noWrap/>
            <w:tcMar>
              <w:top w:w="15" w:type="dxa"/>
              <w:left w:w="15" w:type="dxa"/>
              <w:right w:w="15" w:type="dxa"/>
            </w:tcMar>
            <w:vAlign w:val="center"/>
          </w:tcPr>
          <w:p>
            <w:pPr>
              <w:widowControl/>
              <w:shd w:val="clear" w:color="auto" w:fill="FFFFFF"/>
              <w:spacing w:line="440" w:lineRule="exact"/>
              <w:rPr>
                <w:color w:val="000000"/>
                <w:kern w:val="0"/>
                <w:sz w:val="24"/>
              </w:rPr>
            </w:pPr>
            <w:r>
              <w:rPr>
                <w:rFonts w:hint="eastAsia"/>
                <w:color w:val="000000"/>
                <w:kern w:val="0"/>
                <w:sz w:val="24"/>
              </w:rPr>
              <w:t>内置维修帮助，高级功能和匹配功能使用指导，诊断模式提供汽车维修帮助。</w:t>
            </w:r>
          </w:p>
        </w:tc>
      </w:tr>
    </w:tbl>
    <w:p>
      <w:pPr>
        <w:spacing w:line="360" w:lineRule="auto"/>
        <w:ind w:firstLine="480" w:firstLineChars="200"/>
        <w:rPr>
          <w:color w:val="000000"/>
        </w:rPr>
      </w:pPr>
      <w:r>
        <w:rPr>
          <w:rFonts w:hint="eastAsia"/>
          <w:color w:val="000000"/>
          <w:sz w:val="24"/>
          <w:lang w:val="zh-CN"/>
        </w:rPr>
        <w:t>备注：投标产品必须是全新、未使用过的原装合格正品，符合招标文件的要求，达到国家、行业规定的通用标准和强制标准，属于国家强制认证的产品的必须通过认证。</w:t>
      </w:r>
      <w:r>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lang w:val="zh-CN"/>
        </w:rPr>
        <w:t>欢迎投标质量、性能更优的产品。</w:t>
      </w:r>
      <w:r>
        <w:rPr>
          <w:rFonts w:hint="eastAsia"/>
          <w:color w:val="000000"/>
          <w:sz w:val="24"/>
        </w:rPr>
        <w:t>标★的为核心指标。</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三、质保时间</w:t>
      </w:r>
    </w:p>
    <w:p>
      <w:pPr>
        <w:spacing w:line="300" w:lineRule="auto"/>
        <w:ind w:firstLine="480" w:firstLineChars="200"/>
        <w:rPr>
          <w:color w:val="000000"/>
          <w:sz w:val="24"/>
          <w:szCs w:val="24"/>
        </w:rPr>
      </w:pPr>
      <w:r>
        <w:rPr>
          <w:rFonts w:hint="eastAsia" w:ascii="宋体" w:cs="宋体"/>
          <w:sz w:val="24"/>
          <w:szCs w:val="24"/>
          <w:lang w:val="zh-CN"/>
        </w:rPr>
        <w:t>免费质保时</w:t>
      </w:r>
      <w:r>
        <w:rPr>
          <w:rFonts w:hint="eastAsia"/>
          <w:color w:val="000000"/>
          <w:sz w:val="24"/>
          <w:szCs w:val="24"/>
          <w:lang w:val="zh-CN"/>
        </w:rPr>
        <w:t>间不少于</w:t>
      </w:r>
      <w:r>
        <w:rPr>
          <w:color w:val="000000"/>
          <w:sz w:val="24"/>
          <w:szCs w:val="24"/>
        </w:rPr>
        <w:t>3</w:t>
      </w:r>
      <w:r>
        <w:rPr>
          <w:rFonts w:hint="eastAsia"/>
          <w:color w:val="000000"/>
          <w:sz w:val="24"/>
          <w:szCs w:val="24"/>
          <w:lang w:val="zh-CN"/>
        </w:rPr>
        <w:t>年</w:t>
      </w:r>
      <w:r>
        <w:rPr>
          <w:rFonts w:hint="eastAsia"/>
          <w:color w:val="000000"/>
          <w:sz w:val="24"/>
          <w:szCs w:val="24"/>
        </w:rPr>
        <w:t>，否则为无效投标。</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四、售后服务要求</w:t>
      </w:r>
    </w:p>
    <w:p>
      <w:pPr>
        <w:spacing w:line="300" w:lineRule="auto"/>
        <w:ind w:firstLine="480" w:firstLineChars="200"/>
        <w:rPr>
          <w:sz w:val="24"/>
          <w:szCs w:val="24"/>
        </w:rPr>
      </w:pPr>
      <w:r>
        <w:rPr>
          <w:rFonts w:hint="eastAsia"/>
          <w:sz w:val="24"/>
          <w:szCs w:val="24"/>
        </w:rPr>
        <w:t>（</w:t>
      </w:r>
      <w:r>
        <w:rPr>
          <w:sz w:val="24"/>
          <w:szCs w:val="24"/>
        </w:rPr>
        <w:t>1</w:t>
      </w:r>
      <w:r>
        <w:rPr>
          <w:rFonts w:hint="eastAsia"/>
          <w:sz w:val="24"/>
          <w:szCs w:val="24"/>
        </w:rPr>
        <w:t>）培训服务</w:t>
      </w:r>
    </w:p>
    <w:p>
      <w:pPr>
        <w:spacing w:line="300" w:lineRule="auto"/>
        <w:ind w:firstLine="480" w:firstLineChars="200"/>
        <w:rPr>
          <w:sz w:val="24"/>
          <w:szCs w:val="24"/>
        </w:rPr>
      </w:pPr>
      <w:r>
        <w:rPr>
          <w:rFonts w:hint="eastAsia"/>
          <w:sz w:val="24"/>
          <w:szCs w:val="24"/>
        </w:rPr>
        <w:t>完成安装调试后，卖方免费提供</w:t>
      </w:r>
      <w:r>
        <w:rPr>
          <w:sz w:val="24"/>
          <w:szCs w:val="24"/>
        </w:rPr>
        <w:t xml:space="preserve">1 </w:t>
      </w:r>
      <w:r>
        <w:rPr>
          <w:rFonts w:hint="eastAsia"/>
          <w:sz w:val="24"/>
          <w:szCs w:val="24"/>
        </w:rPr>
        <w:t>个工作日的培训，使买方在培训结束后能够独立操作及维护，对常见问题能够进行判断和进一步处理。</w:t>
      </w:r>
    </w:p>
    <w:p>
      <w:pPr>
        <w:spacing w:line="300" w:lineRule="auto"/>
        <w:ind w:firstLine="480" w:firstLineChars="200"/>
        <w:rPr>
          <w:sz w:val="24"/>
          <w:szCs w:val="24"/>
        </w:rPr>
      </w:pPr>
      <w:r>
        <w:rPr>
          <w:rFonts w:hint="eastAsia"/>
          <w:sz w:val="24"/>
          <w:szCs w:val="24"/>
        </w:rPr>
        <w:t>（</w:t>
      </w:r>
      <w:r>
        <w:rPr>
          <w:sz w:val="24"/>
          <w:szCs w:val="24"/>
        </w:rPr>
        <w:t>2</w:t>
      </w:r>
      <w:r>
        <w:rPr>
          <w:rFonts w:hint="eastAsia"/>
          <w:sz w:val="24"/>
          <w:szCs w:val="24"/>
        </w:rPr>
        <w:t>）保修服务</w:t>
      </w:r>
    </w:p>
    <w:p>
      <w:pPr>
        <w:spacing w:line="300" w:lineRule="auto"/>
        <w:ind w:firstLine="480" w:firstLineChars="200"/>
        <w:rPr>
          <w:sz w:val="24"/>
          <w:szCs w:val="24"/>
        </w:rPr>
      </w:pPr>
      <w:r>
        <w:rPr>
          <w:rFonts w:hint="eastAsia"/>
          <w:sz w:val="24"/>
          <w:szCs w:val="24"/>
        </w:rPr>
        <w:t>在保修期内，</w:t>
      </w:r>
      <w:r>
        <w:rPr>
          <w:rFonts w:hint="eastAsia" w:ascii="宋体" w:hAnsi="宋体" w:cs="宋体"/>
          <w:sz w:val="24"/>
          <w:szCs w:val="24"/>
        </w:rPr>
        <w:t>应在</w:t>
      </w:r>
      <w:r>
        <w:rPr>
          <w:rFonts w:ascii="宋体" w:hAnsi="宋体" w:cs="宋体"/>
          <w:sz w:val="24"/>
          <w:szCs w:val="24"/>
        </w:rPr>
        <w:t>2</w:t>
      </w:r>
      <w:r>
        <w:rPr>
          <w:rFonts w:hint="eastAsia" w:ascii="宋体" w:hAnsi="宋体" w:cs="宋体"/>
          <w:sz w:val="24"/>
          <w:szCs w:val="24"/>
        </w:rPr>
        <w:t>小时内响应，</w:t>
      </w:r>
      <w:r>
        <w:rPr>
          <w:rFonts w:ascii="宋体" w:hAnsi="宋体" w:cs="宋体"/>
          <w:sz w:val="24"/>
          <w:szCs w:val="24"/>
        </w:rPr>
        <w:t>24</w:t>
      </w:r>
      <w:r>
        <w:rPr>
          <w:rFonts w:hint="eastAsia" w:ascii="宋体" w:hAnsi="宋体" w:cs="宋体"/>
          <w:sz w:val="24"/>
          <w:szCs w:val="24"/>
        </w:rPr>
        <w:t>小时内到现场服务。</w:t>
      </w:r>
      <w:r>
        <w:rPr>
          <w:rFonts w:hint="eastAsia"/>
          <w:sz w:val="24"/>
          <w:szCs w:val="24"/>
        </w:rPr>
        <w:t>相关费用卖方承担。</w:t>
      </w:r>
    </w:p>
    <w:p>
      <w:pPr>
        <w:spacing w:line="300" w:lineRule="auto"/>
        <w:ind w:firstLine="480" w:firstLineChars="200"/>
        <w:rPr>
          <w:sz w:val="24"/>
          <w:szCs w:val="24"/>
        </w:rPr>
      </w:pPr>
      <w:r>
        <w:rPr>
          <w:rFonts w:hint="eastAsia"/>
          <w:sz w:val="24"/>
          <w:szCs w:val="24"/>
        </w:rPr>
        <w:t>在保修期外，卖方提供终身维修服务，卖方以成本价维修。</w:t>
      </w:r>
    </w:p>
    <w:p>
      <w:pPr>
        <w:spacing w:line="300" w:lineRule="auto"/>
        <w:ind w:firstLine="480" w:firstLineChars="200"/>
        <w:rPr>
          <w:sz w:val="24"/>
          <w:szCs w:val="24"/>
        </w:rPr>
      </w:pPr>
      <w:r>
        <w:rPr>
          <w:rFonts w:hint="eastAsia"/>
          <w:sz w:val="24"/>
          <w:szCs w:val="24"/>
        </w:rPr>
        <w:t>（</w:t>
      </w:r>
      <w:r>
        <w:rPr>
          <w:sz w:val="24"/>
          <w:szCs w:val="24"/>
        </w:rPr>
        <w:t>3</w:t>
      </w:r>
      <w:r>
        <w:rPr>
          <w:rFonts w:hint="eastAsia"/>
          <w:sz w:val="24"/>
          <w:szCs w:val="24"/>
        </w:rPr>
        <w:t>）软件升级服务</w:t>
      </w:r>
    </w:p>
    <w:p>
      <w:pPr>
        <w:spacing w:line="300" w:lineRule="auto"/>
        <w:ind w:firstLine="480" w:firstLineChars="200"/>
        <w:rPr>
          <w:color w:val="000000"/>
          <w:sz w:val="24"/>
          <w:szCs w:val="24"/>
        </w:rPr>
      </w:pPr>
      <w:r>
        <w:rPr>
          <w:rFonts w:hint="eastAsia"/>
          <w:color w:val="000000"/>
          <w:sz w:val="24"/>
          <w:szCs w:val="24"/>
        </w:rPr>
        <w:t>标段1软件免费升级时间不少于1年；标段2软件终身免费升级。</w:t>
      </w:r>
    </w:p>
    <w:p>
      <w:pPr>
        <w:spacing w:line="300" w:lineRule="auto"/>
        <w:ind w:firstLine="480" w:firstLineChars="200"/>
        <w:rPr>
          <w:color w:val="000000"/>
          <w:sz w:val="24"/>
          <w:szCs w:val="24"/>
        </w:rPr>
      </w:pPr>
      <w:r>
        <w:rPr>
          <w:rFonts w:hint="eastAsia"/>
          <w:color w:val="000000"/>
          <w:sz w:val="24"/>
          <w:szCs w:val="24"/>
        </w:rPr>
        <w:t>五、商务要求</w:t>
      </w:r>
    </w:p>
    <w:p>
      <w:pPr>
        <w:spacing w:line="360" w:lineRule="auto"/>
        <w:ind w:firstLine="480" w:firstLineChars="200"/>
        <w:rPr>
          <w:color w:val="000000"/>
          <w:sz w:val="24"/>
          <w:lang w:val="zh-CN"/>
        </w:rPr>
      </w:pPr>
      <w:r>
        <w:rPr>
          <w:rFonts w:hint="eastAsia"/>
          <w:color w:val="000000"/>
          <w:sz w:val="24"/>
        </w:rPr>
        <w:t>★</w:t>
      </w:r>
      <w:r>
        <w:rPr>
          <w:color w:val="000000"/>
          <w:sz w:val="24"/>
          <w:lang w:val="zh-CN"/>
        </w:rPr>
        <w:t>1.</w:t>
      </w:r>
      <w:r>
        <w:rPr>
          <w:rFonts w:hint="eastAsia"/>
          <w:color w:val="000000"/>
          <w:sz w:val="24"/>
          <w:lang w:val="zh-CN"/>
        </w:rPr>
        <w:t>供货时间：合同签订后</w:t>
      </w:r>
      <w:r>
        <w:rPr>
          <w:color w:val="000000"/>
          <w:sz w:val="24"/>
          <w:lang w:val="zh-CN"/>
        </w:rPr>
        <w:t>30</w:t>
      </w:r>
      <w:r>
        <w:rPr>
          <w:rFonts w:hint="eastAsia"/>
          <w:color w:val="000000"/>
          <w:sz w:val="24"/>
          <w:lang w:val="zh-CN"/>
        </w:rPr>
        <w:t>日内供货安装调试到位。</w:t>
      </w:r>
    </w:p>
    <w:p>
      <w:pPr>
        <w:spacing w:line="360" w:lineRule="auto"/>
        <w:ind w:firstLine="480" w:firstLineChars="200"/>
        <w:rPr>
          <w:color w:val="000000"/>
          <w:sz w:val="24"/>
          <w:lang w:val="zh-CN"/>
        </w:rPr>
      </w:pPr>
      <w:r>
        <w:rPr>
          <w:color w:val="000000"/>
          <w:sz w:val="24"/>
          <w:lang w:val="zh-CN"/>
        </w:rPr>
        <w:t>2.</w:t>
      </w:r>
      <w:r>
        <w:rPr>
          <w:rFonts w:hint="eastAsia"/>
          <w:color w:val="000000"/>
          <w:sz w:val="24"/>
          <w:lang w:val="zh-CN"/>
        </w:rPr>
        <w:t>供货地点：</w:t>
      </w:r>
      <w:r>
        <w:rPr>
          <w:rFonts w:hint="eastAsia"/>
          <w:sz w:val="24"/>
          <w:lang w:val="zh-CN"/>
        </w:rPr>
        <w:t>江苏省淮安市淮阴工学院交通工程学院。</w:t>
      </w:r>
    </w:p>
    <w:p>
      <w:pPr>
        <w:spacing w:line="360" w:lineRule="auto"/>
        <w:ind w:firstLine="480" w:firstLineChars="200"/>
        <w:rPr>
          <w:color w:val="000000"/>
          <w:sz w:val="24"/>
          <w:szCs w:val="24"/>
        </w:rPr>
      </w:pPr>
      <w:r>
        <w:rPr>
          <w:color w:val="000000"/>
          <w:sz w:val="24"/>
          <w:lang w:val="zh-CN"/>
        </w:rPr>
        <w:t>3.</w:t>
      </w:r>
      <w:r>
        <w:rPr>
          <w:rFonts w:hint="eastAsia"/>
          <w:color w:val="000000"/>
          <w:sz w:val="24"/>
          <w:lang w:val="zh-CN"/>
        </w:rPr>
        <w:t>付款方式：合同期内货到我校安装、调试完毕，验收合格后，付合同款的</w:t>
      </w:r>
      <w:r>
        <w:rPr>
          <w:color w:val="000000"/>
          <w:sz w:val="24"/>
          <w:lang w:val="zh-CN"/>
        </w:rPr>
        <w:t>95%</w:t>
      </w:r>
      <w:r>
        <w:rPr>
          <w:rFonts w:hint="eastAsia"/>
          <w:color w:val="000000"/>
          <w:sz w:val="24"/>
          <w:lang w:val="zh-CN"/>
        </w:rPr>
        <w:t>；余下</w:t>
      </w:r>
      <w:r>
        <w:rPr>
          <w:color w:val="000000"/>
          <w:sz w:val="24"/>
          <w:lang w:val="zh-CN"/>
        </w:rPr>
        <w:t>5%</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1"/>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2"/>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2"/>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5"/>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hAns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hAns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0" w:name="OLE_LINK2"/>
      <w:bookmarkStart w:id="1" w:name="OLE_LINK1"/>
      <w:r>
        <w:rPr>
          <w:color w:val="000000"/>
          <w:sz w:val="24"/>
          <w:u w:val="single"/>
        </w:rPr>
        <w:t xml:space="preserve"> </w:t>
      </w:r>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mc:AlternateContent>
          <mc:Choice Requires="wps">
            <w:drawing>
              <wp:anchor distT="0" distB="0" distL="114300" distR="114300" simplePos="0" relativeHeight="251657216" behindDoc="0" locked="0" layoutInCell="1" allowOverlap="1">
                <wp:simplePos x="0" y="0"/>
                <wp:positionH relativeFrom="column">
                  <wp:posOffset>1314450</wp:posOffset>
                </wp:positionH>
                <wp:positionV relativeFrom="paragraph">
                  <wp:posOffset>89535</wp:posOffset>
                </wp:positionV>
                <wp:extent cx="3314700" cy="1882140"/>
                <wp:effectExtent l="0" t="0" r="0" b="3810"/>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314700" cy="1882140"/>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03.5pt;margin-top:7.05pt;height:148.2pt;width:261pt;z-index:251657216;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yk3iNkAAAAK&#10;AQAADwAAAAAAAAABACAAAAAiAAAAZHJzL2Rvd25yZXYueG1sUEsBAhQAFAAAAAgAh07iQI1QwXwb&#10;AgAARwQAAA4AAAAAAAAAAQAgAAAAKAEAAGRycy9lMm9Eb2MueG1sUEsFBgAAAAAGAAYAWQEAALUF&#10;A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220345</wp:posOffset>
                </wp:positionV>
                <wp:extent cx="2857500" cy="1684020"/>
                <wp:effectExtent l="0" t="0" r="0" b="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2857500" cy="16840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251658240;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oLpdj1wAAAAcB&#10;AAAPAAAAAAAAAAEAIAAAACIAAABkcnMvZG93bnJldi54bWxQSwECFAAUAAAACACHTuJA0o1Q7hwC&#10;AABHBAAADgAAAAAAAAABACAAAAAmAQAAZHJzL2Uyb0RvYy54bWxQSwUGAAAAAAYABgBZAQAAtAUA&#10;A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220345</wp:posOffset>
                </wp:positionV>
                <wp:extent cx="2790825" cy="1679575"/>
                <wp:effectExtent l="0" t="0" r="9525" b="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2790825" cy="167957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251658240;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DTF0&#10;BxwCAABHBAAADgAAAAAAAAABACAAAAApAQAAZHJzL2Uyb0RvYy54bWxQSwUGAAAAAAYABgBZAQAA&#10;twU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2"/>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6"/>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6"/>
        <w:spacing w:line="440" w:lineRule="exact"/>
        <w:jc w:val="center"/>
        <w:rPr>
          <w:rFonts w:ascii="Times New Roman" w:hAnsi="Times New Roman"/>
          <w:b/>
          <w:color w:val="000000"/>
          <w:sz w:val="32"/>
        </w:rPr>
      </w:pPr>
    </w:p>
    <w:tbl>
      <w:tblPr>
        <w:tblStyle w:val="12"/>
        <w:tblW w:w="948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法定代表人或其授权委托人（签章）</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投标人近三年业绩一览表</w:t>
      </w:r>
    </w:p>
    <w:p/>
    <w:tbl>
      <w:tblPr>
        <w:tblStyle w:val="12"/>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备注：请填报与本项目直接相关的供货业绩；合同签订时间为</w:t>
      </w:r>
      <w:r>
        <w:rPr>
          <w:szCs w:val="21"/>
        </w:rPr>
        <w:t>2016</w:t>
      </w:r>
      <w:r>
        <w:rPr>
          <w:rFonts w:hint="eastAsia"/>
          <w:szCs w:val="21"/>
        </w:rPr>
        <w:t>年</w:t>
      </w:r>
      <w:r>
        <w:rPr>
          <w:szCs w:val="21"/>
        </w:rPr>
        <w:t>7</w:t>
      </w:r>
      <w:r>
        <w:rPr>
          <w:rFonts w:hint="eastAsia"/>
          <w:szCs w:val="21"/>
        </w:rPr>
        <w:t>月以来；须附</w:t>
      </w:r>
      <w:r>
        <w:rPr>
          <w:rFonts w:hint="eastAsia" w:ascii="宋体" w:hAnsi="宋体" w:cs="宋体"/>
          <w:color w:val="000000"/>
          <w:kern w:val="0"/>
          <w:szCs w:val="21"/>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jc w:val="center"/>
        <w:rPr>
          <w:rFonts w:ascii="宋体"/>
          <w:b/>
          <w:color w:val="000000"/>
          <w:sz w:val="36"/>
          <w:szCs w:val="36"/>
        </w:rPr>
      </w:pP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2"/>
        <w:tblW w:w="7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3"/>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3"/>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2"/>
        <w:tblW w:w="7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2"/>
        <w:tblW w:w="8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Segoe UI Symbol">
    <w:panose1 w:val="020B0502040204020203"/>
    <w:charset w:val="00"/>
    <w:family w:val="swiss"/>
    <w:pitch w:val="default"/>
    <w:sig w:usb0="800001E3" w:usb1="1200FFEF" w:usb2="00040000" w:usb3="04000000" w:csb0="00000001" w:csb1="4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PAGE   \* MERGEFORMAT</w:instrText>
    </w:r>
    <w:r>
      <w:fldChar w:fldCharType="separate"/>
    </w:r>
    <w:r>
      <w:rPr>
        <w:lang w:val="zh-CN"/>
      </w:rPr>
      <w:t>14</w:t>
    </w:r>
    <w:r>
      <w:fldChar w:fldCharType="end"/>
    </w:r>
  </w:p>
  <w:p>
    <w:pPr>
      <w:pStyle w:val="8"/>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8"/>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4E"/>
    <w:rsid w:val="00000F8B"/>
    <w:rsid w:val="000023D8"/>
    <w:rsid w:val="00003108"/>
    <w:rsid w:val="000100ED"/>
    <w:rsid w:val="00014005"/>
    <w:rsid w:val="000144E9"/>
    <w:rsid w:val="000157D6"/>
    <w:rsid w:val="00017890"/>
    <w:rsid w:val="00020FFE"/>
    <w:rsid w:val="00024B16"/>
    <w:rsid w:val="000265D9"/>
    <w:rsid w:val="00030BFE"/>
    <w:rsid w:val="000342F2"/>
    <w:rsid w:val="00035CFA"/>
    <w:rsid w:val="00037A44"/>
    <w:rsid w:val="000433B2"/>
    <w:rsid w:val="00045B5E"/>
    <w:rsid w:val="000478B3"/>
    <w:rsid w:val="00047B69"/>
    <w:rsid w:val="00047E25"/>
    <w:rsid w:val="00055323"/>
    <w:rsid w:val="00056E5E"/>
    <w:rsid w:val="00056FF7"/>
    <w:rsid w:val="0006064C"/>
    <w:rsid w:val="00060DF6"/>
    <w:rsid w:val="00061FE6"/>
    <w:rsid w:val="00062965"/>
    <w:rsid w:val="0006392C"/>
    <w:rsid w:val="0007143D"/>
    <w:rsid w:val="00071B54"/>
    <w:rsid w:val="00071D88"/>
    <w:rsid w:val="00073BF5"/>
    <w:rsid w:val="0007566C"/>
    <w:rsid w:val="000829AC"/>
    <w:rsid w:val="00083BB2"/>
    <w:rsid w:val="00084E6C"/>
    <w:rsid w:val="00085295"/>
    <w:rsid w:val="000859D6"/>
    <w:rsid w:val="000865C6"/>
    <w:rsid w:val="00086609"/>
    <w:rsid w:val="00087B26"/>
    <w:rsid w:val="00090767"/>
    <w:rsid w:val="00090BFC"/>
    <w:rsid w:val="00092991"/>
    <w:rsid w:val="00093CE1"/>
    <w:rsid w:val="00094212"/>
    <w:rsid w:val="000968B8"/>
    <w:rsid w:val="00096917"/>
    <w:rsid w:val="00097CB8"/>
    <w:rsid w:val="000A1C36"/>
    <w:rsid w:val="000A3585"/>
    <w:rsid w:val="000B032C"/>
    <w:rsid w:val="000B0C7B"/>
    <w:rsid w:val="000B43D7"/>
    <w:rsid w:val="000B59A0"/>
    <w:rsid w:val="000B686E"/>
    <w:rsid w:val="000B7F28"/>
    <w:rsid w:val="000C220D"/>
    <w:rsid w:val="000C3243"/>
    <w:rsid w:val="000C3DB4"/>
    <w:rsid w:val="000C4743"/>
    <w:rsid w:val="000C5CCA"/>
    <w:rsid w:val="000C7B20"/>
    <w:rsid w:val="000C7B58"/>
    <w:rsid w:val="000D1005"/>
    <w:rsid w:val="000D48F6"/>
    <w:rsid w:val="000D5EBC"/>
    <w:rsid w:val="000D75E3"/>
    <w:rsid w:val="000D7995"/>
    <w:rsid w:val="000D7BA1"/>
    <w:rsid w:val="000E0249"/>
    <w:rsid w:val="000E2989"/>
    <w:rsid w:val="000E4162"/>
    <w:rsid w:val="000E422E"/>
    <w:rsid w:val="000E425B"/>
    <w:rsid w:val="000E52EE"/>
    <w:rsid w:val="000E63B7"/>
    <w:rsid w:val="000E7524"/>
    <w:rsid w:val="000F1A6A"/>
    <w:rsid w:val="000F32D6"/>
    <w:rsid w:val="000F41B2"/>
    <w:rsid w:val="000F558A"/>
    <w:rsid w:val="000F67F8"/>
    <w:rsid w:val="00100B54"/>
    <w:rsid w:val="00101CF2"/>
    <w:rsid w:val="00103257"/>
    <w:rsid w:val="00103B6E"/>
    <w:rsid w:val="00104A8C"/>
    <w:rsid w:val="00104B67"/>
    <w:rsid w:val="00104B82"/>
    <w:rsid w:val="00104C50"/>
    <w:rsid w:val="00104C97"/>
    <w:rsid w:val="00106A49"/>
    <w:rsid w:val="001131CA"/>
    <w:rsid w:val="00113748"/>
    <w:rsid w:val="00113B37"/>
    <w:rsid w:val="00114728"/>
    <w:rsid w:val="00114D13"/>
    <w:rsid w:val="0012105A"/>
    <w:rsid w:val="001221AC"/>
    <w:rsid w:val="001273A0"/>
    <w:rsid w:val="00135F84"/>
    <w:rsid w:val="0014296F"/>
    <w:rsid w:val="00146573"/>
    <w:rsid w:val="00150973"/>
    <w:rsid w:val="00150DC5"/>
    <w:rsid w:val="00151324"/>
    <w:rsid w:val="001516FC"/>
    <w:rsid w:val="00152959"/>
    <w:rsid w:val="00152DB1"/>
    <w:rsid w:val="00154A97"/>
    <w:rsid w:val="0015569A"/>
    <w:rsid w:val="00156A0F"/>
    <w:rsid w:val="0016561E"/>
    <w:rsid w:val="00170627"/>
    <w:rsid w:val="001706A3"/>
    <w:rsid w:val="001709E5"/>
    <w:rsid w:val="00171C24"/>
    <w:rsid w:val="001767F2"/>
    <w:rsid w:val="00176A63"/>
    <w:rsid w:val="00182B40"/>
    <w:rsid w:val="00183749"/>
    <w:rsid w:val="00183B90"/>
    <w:rsid w:val="00184BC8"/>
    <w:rsid w:val="0018524D"/>
    <w:rsid w:val="00187EA1"/>
    <w:rsid w:val="00190D36"/>
    <w:rsid w:val="001A1AA6"/>
    <w:rsid w:val="001A1EC9"/>
    <w:rsid w:val="001A71BF"/>
    <w:rsid w:val="001B5E69"/>
    <w:rsid w:val="001C0046"/>
    <w:rsid w:val="001C193E"/>
    <w:rsid w:val="001C1B9C"/>
    <w:rsid w:val="001C48A2"/>
    <w:rsid w:val="001C76A1"/>
    <w:rsid w:val="001D1927"/>
    <w:rsid w:val="001D1A07"/>
    <w:rsid w:val="001D1AB1"/>
    <w:rsid w:val="001D3F76"/>
    <w:rsid w:val="001D5B16"/>
    <w:rsid w:val="001D5BF3"/>
    <w:rsid w:val="001E02EE"/>
    <w:rsid w:val="001E07DA"/>
    <w:rsid w:val="001E2E0C"/>
    <w:rsid w:val="001E78DD"/>
    <w:rsid w:val="001F45B5"/>
    <w:rsid w:val="001F60BA"/>
    <w:rsid w:val="001F7EAC"/>
    <w:rsid w:val="00200DF3"/>
    <w:rsid w:val="0020155E"/>
    <w:rsid w:val="002069CB"/>
    <w:rsid w:val="002079E6"/>
    <w:rsid w:val="00214649"/>
    <w:rsid w:val="00216190"/>
    <w:rsid w:val="002162E3"/>
    <w:rsid w:val="002169CB"/>
    <w:rsid w:val="00221AE7"/>
    <w:rsid w:val="00223DC2"/>
    <w:rsid w:val="00225D2F"/>
    <w:rsid w:val="0022654D"/>
    <w:rsid w:val="002270BE"/>
    <w:rsid w:val="00227EDE"/>
    <w:rsid w:val="00230743"/>
    <w:rsid w:val="002324F2"/>
    <w:rsid w:val="002333D1"/>
    <w:rsid w:val="00234B93"/>
    <w:rsid w:val="00236173"/>
    <w:rsid w:val="00236306"/>
    <w:rsid w:val="00241445"/>
    <w:rsid w:val="00244771"/>
    <w:rsid w:val="00246D5C"/>
    <w:rsid w:val="002470C2"/>
    <w:rsid w:val="00252514"/>
    <w:rsid w:val="00262907"/>
    <w:rsid w:val="002629EE"/>
    <w:rsid w:val="00264A30"/>
    <w:rsid w:val="0026588F"/>
    <w:rsid w:val="002712A1"/>
    <w:rsid w:val="00272208"/>
    <w:rsid w:val="00272F8B"/>
    <w:rsid w:val="002733A9"/>
    <w:rsid w:val="0028016E"/>
    <w:rsid w:val="00283806"/>
    <w:rsid w:val="002862FD"/>
    <w:rsid w:val="002866F0"/>
    <w:rsid w:val="00293127"/>
    <w:rsid w:val="00295527"/>
    <w:rsid w:val="002957ED"/>
    <w:rsid w:val="0029747E"/>
    <w:rsid w:val="002A1966"/>
    <w:rsid w:val="002A3924"/>
    <w:rsid w:val="002A443E"/>
    <w:rsid w:val="002A7F40"/>
    <w:rsid w:val="002B1504"/>
    <w:rsid w:val="002B1E7F"/>
    <w:rsid w:val="002B1E9E"/>
    <w:rsid w:val="002B265C"/>
    <w:rsid w:val="002B6E1D"/>
    <w:rsid w:val="002B792B"/>
    <w:rsid w:val="002C0BEF"/>
    <w:rsid w:val="002C3F6F"/>
    <w:rsid w:val="002C419E"/>
    <w:rsid w:val="002C48E7"/>
    <w:rsid w:val="002D151C"/>
    <w:rsid w:val="002D2C77"/>
    <w:rsid w:val="002D35A3"/>
    <w:rsid w:val="002D3C9F"/>
    <w:rsid w:val="002D4559"/>
    <w:rsid w:val="002D68E7"/>
    <w:rsid w:val="002E251F"/>
    <w:rsid w:val="002E2917"/>
    <w:rsid w:val="002E3A68"/>
    <w:rsid w:val="002E3A8C"/>
    <w:rsid w:val="002E4068"/>
    <w:rsid w:val="002E5999"/>
    <w:rsid w:val="002E6B21"/>
    <w:rsid w:val="002F0B75"/>
    <w:rsid w:val="002F4531"/>
    <w:rsid w:val="002F7056"/>
    <w:rsid w:val="00300181"/>
    <w:rsid w:val="003004B3"/>
    <w:rsid w:val="00302A00"/>
    <w:rsid w:val="00302FCF"/>
    <w:rsid w:val="003068EA"/>
    <w:rsid w:val="00311074"/>
    <w:rsid w:val="00311919"/>
    <w:rsid w:val="00312686"/>
    <w:rsid w:val="00312ED9"/>
    <w:rsid w:val="00314879"/>
    <w:rsid w:val="00314E00"/>
    <w:rsid w:val="00315A8A"/>
    <w:rsid w:val="00321127"/>
    <w:rsid w:val="00321A8A"/>
    <w:rsid w:val="00324EF6"/>
    <w:rsid w:val="00335CE0"/>
    <w:rsid w:val="003368E5"/>
    <w:rsid w:val="00337E4B"/>
    <w:rsid w:val="003402E6"/>
    <w:rsid w:val="0034035D"/>
    <w:rsid w:val="00342244"/>
    <w:rsid w:val="00345290"/>
    <w:rsid w:val="00345D48"/>
    <w:rsid w:val="0036034F"/>
    <w:rsid w:val="003604BB"/>
    <w:rsid w:val="0036204F"/>
    <w:rsid w:val="0036213F"/>
    <w:rsid w:val="00363C01"/>
    <w:rsid w:val="003646DA"/>
    <w:rsid w:val="00367BCC"/>
    <w:rsid w:val="00374B29"/>
    <w:rsid w:val="003769E1"/>
    <w:rsid w:val="0038013D"/>
    <w:rsid w:val="00381A7A"/>
    <w:rsid w:val="0038393D"/>
    <w:rsid w:val="0038645C"/>
    <w:rsid w:val="00392D14"/>
    <w:rsid w:val="003941DA"/>
    <w:rsid w:val="00397C2F"/>
    <w:rsid w:val="003A0DA2"/>
    <w:rsid w:val="003A10C6"/>
    <w:rsid w:val="003A35EB"/>
    <w:rsid w:val="003A5449"/>
    <w:rsid w:val="003A56D3"/>
    <w:rsid w:val="003A7F29"/>
    <w:rsid w:val="003B445F"/>
    <w:rsid w:val="003B51D3"/>
    <w:rsid w:val="003B7351"/>
    <w:rsid w:val="003C12AB"/>
    <w:rsid w:val="003C2AF6"/>
    <w:rsid w:val="003C3F1B"/>
    <w:rsid w:val="003D0578"/>
    <w:rsid w:val="003D1E7B"/>
    <w:rsid w:val="003D53A8"/>
    <w:rsid w:val="003D5614"/>
    <w:rsid w:val="003D7765"/>
    <w:rsid w:val="003E73B4"/>
    <w:rsid w:val="003F3D31"/>
    <w:rsid w:val="003F4121"/>
    <w:rsid w:val="003F41D3"/>
    <w:rsid w:val="003F486A"/>
    <w:rsid w:val="00402E23"/>
    <w:rsid w:val="0040312C"/>
    <w:rsid w:val="00405B00"/>
    <w:rsid w:val="00407FF8"/>
    <w:rsid w:val="00410C54"/>
    <w:rsid w:val="00411FF9"/>
    <w:rsid w:val="0041249C"/>
    <w:rsid w:val="00412EB8"/>
    <w:rsid w:val="00413322"/>
    <w:rsid w:val="004136AD"/>
    <w:rsid w:val="00413F9A"/>
    <w:rsid w:val="00414BC8"/>
    <w:rsid w:val="00416ECE"/>
    <w:rsid w:val="00421DF1"/>
    <w:rsid w:val="00422AB3"/>
    <w:rsid w:val="0042426B"/>
    <w:rsid w:val="00425431"/>
    <w:rsid w:val="00425D6A"/>
    <w:rsid w:val="00427F76"/>
    <w:rsid w:val="00431608"/>
    <w:rsid w:val="00431E92"/>
    <w:rsid w:val="00435503"/>
    <w:rsid w:val="004355FE"/>
    <w:rsid w:val="00435A23"/>
    <w:rsid w:val="00436416"/>
    <w:rsid w:val="00437012"/>
    <w:rsid w:val="00441377"/>
    <w:rsid w:val="004449E4"/>
    <w:rsid w:val="00445BEC"/>
    <w:rsid w:val="00445D8C"/>
    <w:rsid w:val="004505BC"/>
    <w:rsid w:val="00462DC7"/>
    <w:rsid w:val="004632BC"/>
    <w:rsid w:val="00463958"/>
    <w:rsid w:val="004646CA"/>
    <w:rsid w:val="00464F7B"/>
    <w:rsid w:val="00472C84"/>
    <w:rsid w:val="00473990"/>
    <w:rsid w:val="00473F9E"/>
    <w:rsid w:val="00474B9B"/>
    <w:rsid w:val="00476C2F"/>
    <w:rsid w:val="00482C8A"/>
    <w:rsid w:val="004839CC"/>
    <w:rsid w:val="00484BB7"/>
    <w:rsid w:val="00484D2C"/>
    <w:rsid w:val="00484E12"/>
    <w:rsid w:val="0048694B"/>
    <w:rsid w:val="00491327"/>
    <w:rsid w:val="0049208F"/>
    <w:rsid w:val="00493B4D"/>
    <w:rsid w:val="004941B7"/>
    <w:rsid w:val="004951CA"/>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50F"/>
    <w:rsid w:val="004C08AD"/>
    <w:rsid w:val="004C1E59"/>
    <w:rsid w:val="004C2B17"/>
    <w:rsid w:val="004C5CDB"/>
    <w:rsid w:val="004C67ED"/>
    <w:rsid w:val="004C7F70"/>
    <w:rsid w:val="004D0B01"/>
    <w:rsid w:val="004D0FDE"/>
    <w:rsid w:val="004D17BD"/>
    <w:rsid w:val="004D239A"/>
    <w:rsid w:val="004D3E34"/>
    <w:rsid w:val="004D4D9B"/>
    <w:rsid w:val="004E0318"/>
    <w:rsid w:val="004E2B66"/>
    <w:rsid w:val="004E5528"/>
    <w:rsid w:val="004E63F7"/>
    <w:rsid w:val="004F03BC"/>
    <w:rsid w:val="004F168B"/>
    <w:rsid w:val="004F26DB"/>
    <w:rsid w:val="004F3E4E"/>
    <w:rsid w:val="004F5600"/>
    <w:rsid w:val="004F56AC"/>
    <w:rsid w:val="004F7147"/>
    <w:rsid w:val="004F73F2"/>
    <w:rsid w:val="004F7EF8"/>
    <w:rsid w:val="00500B71"/>
    <w:rsid w:val="00501A86"/>
    <w:rsid w:val="00504BB1"/>
    <w:rsid w:val="0050534C"/>
    <w:rsid w:val="00506803"/>
    <w:rsid w:val="00506E96"/>
    <w:rsid w:val="005115DD"/>
    <w:rsid w:val="0051216D"/>
    <w:rsid w:val="00512448"/>
    <w:rsid w:val="00514859"/>
    <w:rsid w:val="00515DCD"/>
    <w:rsid w:val="0052014E"/>
    <w:rsid w:val="00521FB8"/>
    <w:rsid w:val="005222C7"/>
    <w:rsid w:val="005228D7"/>
    <w:rsid w:val="00523B1F"/>
    <w:rsid w:val="00524D34"/>
    <w:rsid w:val="00530D3A"/>
    <w:rsid w:val="00530D4E"/>
    <w:rsid w:val="005313DE"/>
    <w:rsid w:val="005323BF"/>
    <w:rsid w:val="00534872"/>
    <w:rsid w:val="005348DE"/>
    <w:rsid w:val="005414A5"/>
    <w:rsid w:val="005448C0"/>
    <w:rsid w:val="00545FF0"/>
    <w:rsid w:val="00546548"/>
    <w:rsid w:val="00553274"/>
    <w:rsid w:val="005559A2"/>
    <w:rsid w:val="00557B9E"/>
    <w:rsid w:val="00562D14"/>
    <w:rsid w:val="00562D30"/>
    <w:rsid w:val="00575198"/>
    <w:rsid w:val="0057566E"/>
    <w:rsid w:val="00577764"/>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D2F11"/>
    <w:rsid w:val="005D3F0C"/>
    <w:rsid w:val="005E0170"/>
    <w:rsid w:val="005E5261"/>
    <w:rsid w:val="005E7195"/>
    <w:rsid w:val="005F0BC0"/>
    <w:rsid w:val="005F3C27"/>
    <w:rsid w:val="005F690E"/>
    <w:rsid w:val="005F776B"/>
    <w:rsid w:val="00600715"/>
    <w:rsid w:val="00600A66"/>
    <w:rsid w:val="00600E77"/>
    <w:rsid w:val="00601435"/>
    <w:rsid w:val="0060236D"/>
    <w:rsid w:val="00605A90"/>
    <w:rsid w:val="00610E5C"/>
    <w:rsid w:val="00613C98"/>
    <w:rsid w:val="00617A39"/>
    <w:rsid w:val="0062125C"/>
    <w:rsid w:val="00621415"/>
    <w:rsid w:val="00621CBC"/>
    <w:rsid w:val="00623C08"/>
    <w:rsid w:val="006248CA"/>
    <w:rsid w:val="006266E8"/>
    <w:rsid w:val="00631BF4"/>
    <w:rsid w:val="00631D73"/>
    <w:rsid w:val="00632580"/>
    <w:rsid w:val="00635E0E"/>
    <w:rsid w:val="0063665A"/>
    <w:rsid w:val="00636B8E"/>
    <w:rsid w:val="00641092"/>
    <w:rsid w:val="0064257E"/>
    <w:rsid w:val="00644FC1"/>
    <w:rsid w:val="00645240"/>
    <w:rsid w:val="00646919"/>
    <w:rsid w:val="00650302"/>
    <w:rsid w:val="00650AA5"/>
    <w:rsid w:val="00653416"/>
    <w:rsid w:val="00653E0A"/>
    <w:rsid w:val="00660A4C"/>
    <w:rsid w:val="0066162F"/>
    <w:rsid w:val="006626A1"/>
    <w:rsid w:val="0066452C"/>
    <w:rsid w:val="006700A8"/>
    <w:rsid w:val="00670D6A"/>
    <w:rsid w:val="00671AD0"/>
    <w:rsid w:val="006769FE"/>
    <w:rsid w:val="006811FD"/>
    <w:rsid w:val="00682565"/>
    <w:rsid w:val="006844CA"/>
    <w:rsid w:val="00685174"/>
    <w:rsid w:val="00690775"/>
    <w:rsid w:val="00691453"/>
    <w:rsid w:val="0069229A"/>
    <w:rsid w:val="00697DD7"/>
    <w:rsid w:val="006A0CA0"/>
    <w:rsid w:val="006A1681"/>
    <w:rsid w:val="006A1BB9"/>
    <w:rsid w:val="006A2C44"/>
    <w:rsid w:val="006A4E85"/>
    <w:rsid w:val="006B188D"/>
    <w:rsid w:val="006B2B19"/>
    <w:rsid w:val="006B2E18"/>
    <w:rsid w:val="006B5BF3"/>
    <w:rsid w:val="006C0F80"/>
    <w:rsid w:val="006C5205"/>
    <w:rsid w:val="006C72BD"/>
    <w:rsid w:val="006D1B65"/>
    <w:rsid w:val="006D3B4D"/>
    <w:rsid w:val="006D3E95"/>
    <w:rsid w:val="006D4903"/>
    <w:rsid w:val="006D5C44"/>
    <w:rsid w:val="006E0418"/>
    <w:rsid w:val="006E114B"/>
    <w:rsid w:val="006E25C0"/>
    <w:rsid w:val="006E2B92"/>
    <w:rsid w:val="006E3064"/>
    <w:rsid w:val="006E7C69"/>
    <w:rsid w:val="006F445E"/>
    <w:rsid w:val="006F4BD8"/>
    <w:rsid w:val="006F571C"/>
    <w:rsid w:val="006F57C2"/>
    <w:rsid w:val="006F5CF3"/>
    <w:rsid w:val="00707B8F"/>
    <w:rsid w:val="00712286"/>
    <w:rsid w:val="00720C7F"/>
    <w:rsid w:val="00722CF2"/>
    <w:rsid w:val="00726D8B"/>
    <w:rsid w:val="00730FDD"/>
    <w:rsid w:val="00731A32"/>
    <w:rsid w:val="00732090"/>
    <w:rsid w:val="007331AD"/>
    <w:rsid w:val="00736996"/>
    <w:rsid w:val="0074090C"/>
    <w:rsid w:val="00740A99"/>
    <w:rsid w:val="00741F14"/>
    <w:rsid w:val="00745DFE"/>
    <w:rsid w:val="007477F6"/>
    <w:rsid w:val="00747DB8"/>
    <w:rsid w:val="00751712"/>
    <w:rsid w:val="00754273"/>
    <w:rsid w:val="0075509A"/>
    <w:rsid w:val="007568E5"/>
    <w:rsid w:val="00764F28"/>
    <w:rsid w:val="007654C3"/>
    <w:rsid w:val="007663C0"/>
    <w:rsid w:val="007707C1"/>
    <w:rsid w:val="00771692"/>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238"/>
    <w:rsid w:val="007969BB"/>
    <w:rsid w:val="00796D8D"/>
    <w:rsid w:val="007A17B8"/>
    <w:rsid w:val="007A2797"/>
    <w:rsid w:val="007A509F"/>
    <w:rsid w:val="007A6765"/>
    <w:rsid w:val="007A7ECC"/>
    <w:rsid w:val="007B1A8B"/>
    <w:rsid w:val="007B3E51"/>
    <w:rsid w:val="007B46E4"/>
    <w:rsid w:val="007B69E4"/>
    <w:rsid w:val="007B7B97"/>
    <w:rsid w:val="007C3DAD"/>
    <w:rsid w:val="007C4AE3"/>
    <w:rsid w:val="007C580E"/>
    <w:rsid w:val="007D373F"/>
    <w:rsid w:val="007D76B6"/>
    <w:rsid w:val="007E30F8"/>
    <w:rsid w:val="007F3DF6"/>
    <w:rsid w:val="007F4F98"/>
    <w:rsid w:val="007F5485"/>
    <w:rsid w:val="007F6A21"/>
    <w:rsid w:val="00800D73"/>
    <w:rsid w:val="00801164"/>
    <w:rsid w:val="00802810"/>
    <w:rsid w:val="0080331B"/>
    <w:rsid w:val="00807E0B"/>
    <w:rsid w:val="0081482A"/>
    <w:rsid w:val="00816C3F"/>
    <w:rsid w:val="0082248D"/>
    <w:rsid w:val="0082373A"/>
    <w:rsid w:val="00823B36"/>
    <w:rsid w:val="00823FC4"/>
    <w:rsid w:val="0082629F"/>
    <w:rsid w:val="0083303E"/>
    <w:rsid w:val="00833452"/>
    <w:rsid w:val="00833ECE"/>
    <w:rsid w:val="0083400B"/>
    <w:rsid w:val="008346C8"/>
    <w:rsid w:val="00835167"/>
    <w:rsid w:val="00835F3C"/>
    <w:rsid w:val="0083669B"/>
    <w:rsid w:val="00840C23"/>
    <w:rsid w:val="0084130C"/>
    <w:rsid w:val="00846950"/>
    <w:rsid w:val="0084799F"/>
    <w:rsid w:val="008514E7"/>
    <w:rsid w:val="00851E90"/>
    <w:rsid w:val="008531D4"/>
    <w:rsid w:val="00854D58"/>
    <w:rsid w:val="0085795F"/>
    <w:rsid w:val="00862408"/>
    <w:rsid w:val="008625B0"/>
    <w:rsid w:val="00864522"/>
    <w:rsid w:val="00865909"/>
    <w:rsid w:val="00866993"/>
    <w:rsid w:val="00867056"/>
    <w:rsid w:val="00870865"/>
    <w:rsid w:val="00871A83"/>
    <w:rsid w:val="00873663"/>
    <w:rsid w:val="00873E9A"/>
    <w:rsid w:val="00875BFD"/>
    <w:rsid w:val="00877621"/>
    <w:rsid w:val="00883A71"/>
    <w:rsid w:val="00884767"/>
    <w:rsid w:val="00884848"/>
    <w:rsid w:val="00887710"/>
    <w:rsid w:val="0089036F"/>
    <w:rsid w:val="00890B5A"/>
    <w:rsid w:val="00890C36"/>
    <w:rsid w:val="00890D72"/>
    <w:rsid w:val="00893D9A"/>
    <w:rsid w:val="00893FEE"/>
    <w:rsid w:val="008974A9"/>
    <w:rsid w:val="00897B52"/>
    <w:rsid w:val="00897E1E"/>
    <w:rsid w:val="008A0341"/>
    <w:rsid w:val="008A0CFA"/>
    <w:rsid w:val="008A2F34"/>
    <w:rsid w:val="008A676E"/>
    <w:rsid w:val="008A6F41"/>
    <w:rsid w:val="008A7F71"/>
    <w:rsid w:val="008B27F2"/>
    <w:rsid w:val="008B45D0"/>
    <w:rsid w:val="008B571C"/>
    <w:rsid w:val="008B774E"/>
    <w:rsid w:val="008B7E13"/>
    <w:rsid w:val="008B7F5A"/>
    <w:rsid w:val="008D2926"/>
    <w:rsid w:val="008D6A9F"/>
    <w:rsid w:val="008E2D4E"/>
    <w:rsid w:val="008E48DB"/>
    <w:rsid w:val="008E7A72"/>
    <w:rsid w:val="008F00A8"/>
    <w:rsid w:val="008F0C9C"/>
    <w:rsid w:val="008F3A61"/>
    <w:rsid w:val="00902C52"/>
    <w:rsid w:val="00904641"/>
    <w:rsid w:val="00905589"/>
    <w:rsid w:val="00905B7E"/>
    <w:rsid w:val="00906F67"/>
    <w:rsid w:val="0091099A"/>
    <w:rsid w:val="00910E66"/>
    <w:rsid w:val="00913281"/>
    <w:rsid w:val="0091505F"/>
    <w:rsid w:val="00916F05"/>
    <w:rsid w:val="00917320"/>
    <w:rsid w:val="00921850"/>
    <w:rsid w:val="00922A43"/>
    <w:rsid w:val="00924128"/>
    <w:rsid w:val="00924230"/>
    <w:rsid w:val="00925E52"/>
    <w:rsid w:val="009260BF"/>
    <w:rsid w:val="00932823"/>
    <w:rsid w:val="009332C8"/>
    <w:rsid w:val="00933FF2"/>
    <w:rsid w:val="00934768"/>
    <w:rsid w:val="00935624"/>
    <w:rsid w:val="00935712"/>
    <w:rsid w:val="00936311"/>
    <w:rsid w:val="009439B7"/>
    <w:rsid w:val="00944DF7"/>
    <w:rsid w:val="0094748B"/>
    <w:rsid w:val="00955531"/>
    <w:rsid w:val="009613BA"/>
    <w:rsid w:val="00961B94"/>
    <w:rsid w:val="00961CA7"/>
    <w:rsid w:val="00962D9D"/>
    <w:rsid w:val="00963396"/>
    <w:rsid w:val="009719C9"/>
    <w:rsid w:val="009731D6"/>
    <w:rsid w:val="00975873"/>
    <w:rsid w:val="0098031B"/>
    <w:rsid w:val="0098122D"/>
    <w:rsid w:val="009815E5"/>
    <w:rsid w:val="00982220"/>
    <w:rsid w:val="009832CE"/>
    <w:rsid w:val="009837AD"/>
    <w:rsid w:val="00984CD9"/>
    <w:rsid w:val="009850C6"/>
    <w:rsid w:val="009870D3"/>
    <w:rsid w:val="00990178"/>
    <w:rsid w:val="0099176C"/>
    <w:rsid w:val="00992934"/>
    <w:rsid w:val="0099305A"/>
    <w:rsid w:val="009A270B"/>
    <w:rsid w:val="009A47D0"/>
    <w:rsid w:val="009B19E3"/>
    <w:rsid w:val="009B1E46"/>
    <w:rsid w:val="009B325F"/>
    <w:rsid w:val="009B3DF3"/>
    <w:rsid w:val="009B690C"/>
    <w:rsid w:val="009C106C"/>
    <w:rsid w:val="009C429F"/>
    <w:rsid w:val="009C65F0"/>
    <w:rsid w:val="009C6966"/>
    <w:rsid w:val="009C6FBB"/>
    <w:rsid w:val="009C7295"/>
    <w:rsid w:val="009C7892"/>
    <w:rsid w:val="009C7E2D"/>
    <w:rsid w:val="009D1591"/>
    <w:rsid w:val="009D2257"/>
    <w:rsid w:val="009D2CB7"/>
    <w:rsid w:val="009D7336"/>
    <w:rsid w:val="009D733E"/>
    <w:rsid w:val="009E3436"/>
    <w:rsid w:val="009F0543"/>
    <w:rsid w:val="009F0DE1"/>
    <w:rsid w:val="009F2AC7"/>
    <w:rsid w:val="009F2CD3"/>
    <w:rsid w:val="009F2E82"/>
    <w:rsid w:val="00A01A3C"/>
    <w:rsid w:val="00A03023"/>
    <w:rsid w:val="00A035EC"/>
    <w:rsid w:val="00A03762"/>
    <w:rsid w:val="00A061F7"/>
    <w:rsid w:val="00A108AF"/>
    <w:rsid w:val="00A10E4B"/>
    <w:rsid w:val="00A1119C"/>
    <w:rsid w:val="00A12E06"/>
    <w:rsid w:val="00A13E22"/>
    <w:rsid w:val="00A14E59"/>
    <w:rsid w:val="00A160A2"/>
    <w:rsid w:val="00A176AA"/>
    <w:rsid w:val="00A21ABF"/>
    <w:rsid w:val="00A227E8"/>
    <w:rsid w:val="00A24B69"/>
    <w:rsid w:val="00A253F4"/>
    <w:rsid w:val="00A31FF9"/>
    <w:rsid w:val="00A328BC"/>
    <w:rsid w:val="00A35095"/>
    <w:rsid w:val="00A3576C"/>
    <w:rsid w:val="00A36165"/>
    <w:rsid w:val="00A4022F"/>
    <w:rsid w:val="00A40EFB"/>
    <w:rsid w:val="00A4316A"/>
    <w:rsid w:val="00A45773"/>
    <w:rsid w:val="00A45D8B"/>
    <w:rsid w:val="00A46EF3"/>
    <w:rsid w:val="00A474E9"/>
    <w:rsid w:val="00A50C14"/>
    <w:rsid w:val="00A513BA"/>
    <w:rsid w:val="00A54287"/>
    <w:rsid w:val="00A54D9E"/>
    <w:rsid w:val="00A57300"/>
    <w:rsid w:val="00A610B0"/>
    <w:rsid w:val="00A64A40"/>
    <w:rsid w:val="00A709E9"/>
    <w:rsid w:val="00A71651"/>
    <w:rsid w:val="00A739F1"/>
    <w:rsid w:val="00A73D7C"/>
    <w:rsid w:val="00A74D88"/>
    <w:rsid w:val="00A74E24"/>
    <w:rsid w:val="00A75F65"/>
    <w:rsid w:val="00A77E58"/>
    <w:rsid w:val="00A80316"/>
    <w:rsid w:val="00A813A5"/>
    <w:rsid w:val="00A85017"/>
    <w:rsid w:val="00A862B4"/>
    <w:rsid w:val="00A86404"/>
    <w:rsid w:val="00A87A83"/>
    <w:rsid w:val="00A95342"/>
    <w:rsid w:val="00AA38CF"/>
    <w:rsid w:val="00AA495B"/>
    <w:rsid w:val="00AB2A51"/>
    <w:rsid w:val="00AB756A"/>
    <w:rsid w:val="00AC1D45"/>
    <w:rsid w:val="00AC4FA0"/>
    <w:rsid w:val="00AE0F51"/>
    <w:rsid w:val="00AE109B"/>
    <w:rsid w:val="00AE12A2"/>
    <w:rsid w:val="00AE1AD2"/>
    <w:rsid w:val="00AE4FD3"/>
    <w:rsid w:val="00AE68A0"/>
    <w:rsid w:val="00AF1143"/>
    <w:rsid w:val="00AF3482"/>
    <w:rsid w:val="00AF4FB7"/>
    <w:rsid w:val="00AF51C5"/>
    <w:rsid w:val="00B00691"/>
    <w:rsid w:val="00B06408"/>
    <w:rsid w:val="00B07BBC"/>
    <w:rsid w:val="00B139F1"/>
    <w:rsid w:val="00B14A24"/>
    <w:rsid w:val="00B2233B"/>
    <w:rsid w:val="00B23A1C"/>
    <w:rsid w:val="00B23A5E"/>
    <w:rsid w:val="00B23ABF"/>
    <w:rsid w:val="00B26850"/>
    <w:rsid w:val="00B318C0"/>
    <w:rsid w:val="00B329F8"/>
    <w:rsid w:val="00B32A3F"/>
    <w:rsid w:val="00B34345"/>
    <w:rsid w:val="00B34814"/>
    <w:rsid w:val="00B34E35"/>
    <w:rsid w:val="00B34FAB"/>
    <w:rsid w:val="00B37658"/>
    <w:rsid w:val="00B40C0F"/>
    <w:rsid w:val="00B41EC7"/>
    <w:rsid w:val="00B423B4"/>
    <w:rsid w:val="00B43079"/>
    <w:rsid w:val="00B50792"/>
    <w:rsid w:val="00B52D81"/>
    <w:rsid w:val="00B56A85"/>
    <w:rsid w:val="00B60AD4"/>
    <w:rsid w:val="00B60E96"/>
    <w:rsid w:val="00B61B8C"/>
    <w:rsid w:val="00B65B54"/>
    <w:rsid w:val="00B678DE"/>
    <w:rsid w:val="00B75A51"/>
    <w:rsid w:val="00B75C81"/>
    <w:rsid w:val="00B7684D"/>
    <w:rsid w:val="00B77E4C"/>
    <w:rsid w:val="00B834CC"/>
    <w:rsid w:val="00B83600"/>
    <w:rsid w:val="00B84027"/>
    <w:rsid w:val="00B84C68"/>
    <w:rsid w:val="00B8690B"/>
    <w:rsid w:val="00B915F3"/>
    <w:rsid w:val="00B92F56"/>
    <w:rsid w:val="00B9464C"/>
    <w:rsid w:val="00B97101"/>
    <w:rsid w:val="00B97322"/>
    <w:rsid w:val="00BA1129"/>
    <w:rsid w:val="00BA32EA"/>
    <w:rsid w:val="00BA4027"/>
    <w:rsid w:val="00BA4E72"/>
    <w:rsid w:val="00BA73E7"/>
    <w:rsid w:val="00BB07E2"/>
    <w:rsid w:val="00BB22EA"/>
    <w:rsid w:val="00BB3185"/>
    <w:rsid w:val="00BC0A44"/>
    <w:rsid w:val="00BC5846"/>
    <w:rsid w:val="00BC5BDC"/>
    <w:rsid w:val="00BD2E89"/>
    <w:rsid w:val="00BD48AF"/>
    <w:rsid w:val="00BD5056"/>
    <w:rsid w:val="00BD7471"/>
    <w:rsid w:val="00BE04AE"/>
    <w:rsid w:val="00BE0C5B"/>
    <w:rsid w:val="00BE0E07"/>
    <w:rsid w:val="00BE1D20"/>
    <w:rsid w:val="00BE2846"/>
    <w:rsid w:val="00BE547C"/>
    <w:rsid w:val="00BE6376"/>
    <w:rsid w:val="00BE7F4B"/>
    <w:rsid w:val="00BF0CB1"/>
    <w:rsid w:val="00BF3092"/>
    <w:rsid w:val="00BF31B8"/>
    <w:rsid w:val="00BF4A5B"/>
    <w:rsid w:val="00BF51D8"/>
    <w:rsid w:val="00BF56B8"/>
    <w:rsid w:val="00BF6285"/>
    <w:rsid w:val="00BF6CC5"/>
    <w:rsid w:val="00BF72A2"/>
    <w:rsid w:val="00C0167C"/>
    <w:rsid w:val="00C02412"/>
    <w:rsid w:val="00C035BC"/>
    <w:rsid w:val="00C04211"/>
    <w:rsid w:val="00C05074"/>
    <w:rsid w:val="00C0706F"/>
    <w:rsid w:val="00C0769A"/>
    <w:rsid w:val="00C07DE9"/>
    <w:rsid w:val="00C10731"/>
    <w:rsid w:val="00C11153"/>
    <w:rsid w:val="00C12074"/>
    <w:rsid w:val="00C12B9B"/>
    <w:rsid w:val="00C12C69"/>
    <w:rsid w:val="00C17284"/>
    <w:rsid w:val="00C17303"/>
    <w:rsid w:val="00C2034D"/>
    <w:rsid w:val="00C204BC"/>
    <w:rsid w:val="00C21EAE"/>
    <w:rsid w:val="00C24929"/>
    <w:rsid w:val="00C24F61"/>
    <w:rsid w:val="00C256D4"/>
    <w:rsid w:val="00C25A1E"/>
    <w:rsid w:val="00C312A6"/>
    <w:rsid w:val="00C34295"/>
    <w:rsid w:val="00C35D97"/>
    <w:rsid w:val="00C37348"/>
    <w:rsid w:val="00C443F1"/>
    <w:rsid w:val="00C44C6C"/>
    <w:rsid w:val="00C47DAD"/>
    <w:rsid w:val="00C50F37"/>
    <w:rsid w:val="00C6013A"/>
    <w:rsid w:val="00C61438"/>
    <w:rsid w:val="00C626FE"/>
    <w:rsid w:val="00C64F1D"/>
    <w:rsid w:val="00C67022"/>
    <w:rsid w:val="00C67780"/>
    <w:rsid w:val="00C71093"/>
    <w:rsid w:val="00C739C9"/>
    <w:rsid w:val="00C747F4"/>
    <w:rsid w:val="00C774B0"/>
    <w:rsid w:val="00C82707"/>
    <w:rsid w:val="00C90300"/>
    <w:rsid w:val="00C91B56"/>
    <w:rsid w:val="00C942F1"/>
    <w:rsid w:val="00C944BA"/>
    <w:rsid w:val="00C94EE8"/>
    <w:rsid w:val="00C970B9"/>
    <w:rsid w:val="00CA028A"/>
    <w:rsid w:val="00CA2163"/>
    <w:rsid w:val="00CA5707"/>
    <w:rsid w:val="00CB33BC"/>
    <w:rsid w:val="00CB3D84"/>
    <w:rsid w:val="00CB40A1"/>
    <w:rsid w:val="00CB4542"/>
    <w:rsid w:val="00CB6641"/>
    <w:rsid w:val="00CB71A1"/>
    <w:rsid w:val="00CC32FC"/>
    <w:rsid w:val="00CC7C0B"/>
    <w:rsid w:val="00CD1475"/>
    <w:rsid w:val="00CD1F5B"/>
    <w:rsid w:val="00CD62ED"/>
    <w:rsid w:val="00CD722F"/>
    <w:rsid w:val="00CE0C55"/>
    <w:rsid w:val="00CE1589"/>
    <w:rsid w:val="00CE25A2"/>
    <w:rsid w:val="00CE2B5C"/>
    <w:rsid w:val="00CE4F0C"/>
    <w:rsid w:val="00CE57EC"/>
    <w:rsid w:val="00CF19FA"/>
    <w:rsid w:val="00CF2387"/>
    <w:rsid w:val="00D0333D"/>
    <w:rsid w:val="00D04A64"/>
    <w:rsid w:val="00D0780D"/>
    <w:rsid w:val="00D078AE"/>
    <w:rsid w:val="00D113C2"/>
    <w:rsid w:val="00D11AAF"/>
    <w:rsid w:val="00D1626C"/>
    <w:rsid w:val="00D21402"/>
    <w:rsid w:val="00D219E4"/>
    <w:rsid w:val="00D21BFB"/>
    <w:rsid w:val="00D240B7"/>
    <w:rsid w:val="00D24586"/>
    <w:rsid w:val="00D30372"/>
    <w:rsid w:val="00D30AA4"/>
    <w:rsid w:val="00D30CA6"/>
    <w:rsid w:val="00D346D0"/>
    <w:rsid w:val="00D37086"/>
    <w:rsid w:val="00D37492"/>
    <w:rsid w:val="00D43BD0"/>
    <w:rsid w:val="00D4445D"/>
    <w:rsid w:val="00D50B6A"/>
    <w:rsid w:val="00D524F3"/>
    <w:rsid w:val="00D53643"/>
    <w:rsid w:val="00D57D0F"/>
    <w:rsid w:val="00D60675"/>
    <w:rsid w:val="00D61020"/>
    <w:rsid w:val="00D63276"/>
    <w:rsid w:val="00D6336E"/>
    <w:rsid w:val="00D64D1A"/>
    <w:rsid w:val="00D6567F"/>
    <w:rsid w:val="00D66BEB"/>
    <w:rsid w:val="00D7044E"/>
    <w:rsid w:val="00D70F38"/>
    <w:rsid w:val="00D73931"/>
    <w:rsid w:val="00D7452D"/>
    <w:rsid w:val="00D762AE"/>
    <w:rsid w:val="00D84AE3"/>
    <w:rsid w:val="00D860E9"/>
    <w:rsid w:val="00D86C52"/>
    <w:rsid w:val="00D922B7"/>
    <w:rsid w:val="00D95283"/>
    <w:rsid w:val="00D968B2"/>
    <w:rsid w:val="00DA1242"/>
    <w:rsid w:val="00DA2A9F"/>
    <w:rsid w:val="00DA2EAD"/>
    <w:rsid w:val="00DA456A"/>
    <w:rsid w:val="00DA4E31"/>
    <w:rsid w:val="00DB14AB"/>
    <w:rsid w:val="00DB1F31"/>
    <w:rsid w:val="00DB3080"/>
    <w:rsid w:val="00DB378A"/>
    <w:rsid w:val="00DB3ECB"/>
    <w:rsid w:val="00DB3ED8"/>
    <w:rsid w:val="00DB6D6E"/>
    <w:rsid w:val="00DC173E"/>
    <w:rsid w:val="00DC29B5"/>
    <w:rsid w:val="00DC33D4"/>
    <w:rsid w:val="00DC5310"/>
    <w:rsid w:val="00DC57B1"/>
    <w:rsid w:val="00DC6709"/>
    <w:rsid w:val="00DC6982"/>
    <w:rsid w:val="00DC6E2C"/>
    <w:rsid w:val="00DD0034"/>
    <w:rsid w:val="00DD01F7"/>
    <w:rsid w:val="00DD314D"/>
    <w:rsid w:val="00DD31A8"/>
    <w:rsid w:val="00DD3889"/>
    <w:rsid w:val="00DD5C1E"/>
    <w:rsid w:val="00DE07D3"/>
    <w:rsid w:val="00DE0F4E"/>
    <w:rsid w:val="00DE1792"/>
    <w:rsid w:val="00DE43C4"/>
    <w:rsid w:val="00DE5D92"/>
    <w:rsid w:val="00DE6439"/>
    <w:rsid w:val="00DE64A9"/>
    <w:rsid w:val="00DF0694"/>
    <w:rsid w:val="00DF0AEA"/>
    <w:rsid w:val="00DF255D"/>
    <w:rsid w:val="00DF265D"/>
    <w:rsid w:val="00DF28A8"/>
    <w:rsid w:val="00DF4C19"/>
    <w:rsid w:val="00DF76E8"/>
    <w:rsid w:val="00DF7D19"/>
    <w:rsid w:val="00E00927"/>
    <w:rsid w:val="00E07C77"/>
    <w:rsid w:val="00E07FD3"/>
    <w:rsid w:val="00E11442"/>
    <w:rsid w:val="00E12ADE"/>
    <w:rsid w:val="00E13D11"/>
    <w:rsid w:val="00E151B2"/>
    <w:rsid w:val="00E2087A"/>
    <w:rsid w:val="00E25A85"/>
    <w:rsid w:val="00E32EA5"/>
    <w:rsid w:val="00E353B1"/>
    <w:rsid w:val="00E35A56"/>
    <w:rsid w:val="00E41C00"/>
    <w:rsid w:val="00E43D09"/>
    <w:rsid w:val="00E45776"/>
    <w:rsid w:val="00E4622D"/>
    <w:rsid w:val="00E472C7"/>
    <w:rsid w:val="00E54718"/>
    <w:rsid w:val="00E5745D"/>
    <w:rsid w:val="00E57711"/>
    <w:rsid w:val="00E57814"/>
    <w:rsid w:val="00E604AA"/>
    <w:rsid w:val="00E61247"/>
    <w:rsid w:val="00E62AFC"/>
    <w:rsid w:val="00E64E03"/>
    <w:rsid w:val="00E672FB"/>
    <w:rsid w:val="00E731A7"/>
    <w:rsid w:val="00E7565F"/>
    <w:rsid w:val="00E81AED"/>
    <w:rsid w:val="00E81BBD"/>
    <w:rsid w:val="00E81E4B"/>
    <w:rsid w:val="00E85A55"/>
    <w:rsid w:val="00E9218A"/>
    <w:rsid w:val="00E930D3"/>
    <w:rsid w:val="00E95A3A"/>
    <w:rsid w:val="00E96519"/>
    <w:rsid w:val="00EA1E6D"/>
    <w:rsid w:val="00EA251C"/>
    <w:rsid w:val="00EA72D8"/>
    <w:rsid w:val="00EB0B4D"/>
    <w:rsid w:val="00EB2DBA"/>
    <w:rsid w:val="00EB4453"/>
    <w:rsid w:val="00EB5BC4"/>
    <w:rsid w:val="00EB6FBF"/>
    <w:rsid w:val="00EC1445"/>
    <w:rsid w:val="00EC42EA"/>
    <w:rsid w:val="00EC6BE8"/>
    <w:rsid w:val="00EC7F1D"/>
    <w:rsid w:val="00ED0E40"/>
    <w:rsid w:val="00ED1210"/>
    <w:rsid w:val="00ED225D"/>
    <w:rsid w:val="00ED35B0"/>
    <w:rsid w:val="00ED40F1"/>
    <w:rsid w:val="00ED4DD3"/>
    <w:rsid w:val="00ED7E23"/>
    <w:rsid w:val="00EE0805"/>
    <w:rsid w:val="00EE1E5D"/>
    <w:rsid w:val="00EE463F"/>
    <w:rsid w:val="00EE4AD2"/>
    <w:rsid w:val="00EE682E"/>
    <w:rsid w:val="00EF01DD"/>
    <w:rsid w:val="00EF1A0F"/>
    <w:rsid w:val="00EF2133"/>
    <w:rsid w:val="00EF269E"/>
    <w:rsid w:val="00EF6B1E"/>
    <w:rsid w:val="00F026E9"/>
    <w:rsid w:val="00F04C34"/>
    <w:rsid w:val="00F0545E"/>
    <w:rsid w:val="00F063B6"/>
    <w:rsid w:val="00F0663A"/>
    <w:rsid w:val="00F066DF"/>
    <w:rsid w:val="00F101C3"/>
    <w:rsid w:val="00F10A86"/>
    <w:rsid w:val="00F13CEA"/>
    <w:rsid w:val="00F15CBA"/>
    <w:rsid w:val="00F15CF2"/>
    <w:rsid w:val="00F16EAB"/>
    <w:rsid w:val="00F210A4"/>
    <w:rsid w:val="00F22561"/>
    <w:rsid w:val="00F263EB"/>
    <w:rsid w:val="00F26C56"/>
    <w:rsid w:val="00F302DC"/>
    <w:rsid w:val="00F3234E"/>
    <w:rsid w:val="00F366E8"/>
    <w:rsid w:val="00F4296C"/>
    <w:rsid w:val="00F43486"/>
    <w:rsid w:val="00F4417C"/>
    <w:rsid w:val="00F466F3"/>
    <w:rsid w:val="00F47CF6"/>
    <w:rsid w:val="00F50125"/>
    <w:rsid w:val="00F50684"/>
    <w:rsid w:val="00F52131"/>
    <w:rsid w:val="00F52729"/>
    <w:rsid w:val="00F54885"/>
    <w:rsid w:val="00F61AB0"/>
    <w:rsid w:val="00F65BA6"/>
    <w:rsid w:val="00F719FC"/>
    <w:rsid w:val="00F728B0"/>
    <w:rsid w:val="00F7530D"/>
    <w:rsid w:val="00F824C0"/>
    <w:rsid w:val="00F86FBD"/>
    <w:rsid w:val="00F873C4"/>
    <w:rsid w:val="00F90F75"/>
    <w:rsid w:val="00F92CAC"/>
    <w:rsid w:val="00F942E5"/>
    <w:rsid w:val="00F97D7C"/>
    <w:rsid w:val="00F97F9E"/>
    <w:rsid w:val="00FA0425"/>
    <w:rsid w:val="00FA09A0"/>
    <w:rsid w:val="00FA384F"/>
    <w:rsid w:val="00FA40C1"/>
    <w:rsid w:val="00FB195C"/>
    <w:rsid w:val="00FB3AB4"/>
    <w:rsid w:val="00FC0D73"/>
    <w:rsid w:val="00FC2025"/>
    <w:rsid w:val="00FC57EA"/>
    <w:rsid w:val="00FD0275"/>
    <w:rsid w:val="00FD478C"/>
    <w:rsid w:val="00FD55F3"/>
    <w:rsid w:val="00FD730B"/>
    <w:rsid w:val="00FD7CAD"/>
    <w:rsid w:val="00FE45EF"/>
    <w:rsid w:val="00FE5C67"/>
    <w:rsid w:val="00FE71F1"/>
    <w:rsid w:val="00FE779E"/>
    <w:rsid w:val="00FF06CB"/>
    <w:rsid w:val="00FF0F19"/>
    <w:rsid w:val="00FF3198"/>
    <w:rsid w:val="00FF4286"/>
    <w:rsid w:val="00FF59DB"/>
    <w:rsid w:val="08191D6D"/>
    <w:rsid w:val="0E601EEA"/>
    <w:rsid w:val="12D7558D"/>
    <w:rsid w:val="302D2F5A"/>
    <w:rsid w:val="34B715BD"/>
    <w:rsid w:val="355969F8"/>
    <w:rsid w:val="38686C22"/>
    <w:rsid w:val="3BBB7324"/>
    <w:rsid w:val="4B234021"/>
    <w:rsid w:val="58FF2CBD"/>
    <w:rsid w:val="614D7A91"/>
    <w:rsid w:val="666C2141"/>
    <w:rsid w:val="730E3B0B"/>
    <w:rsid w:val="79F96FE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qFormat="1" w:unhideWhenUsed="0" w:uiPriority="99" w:name="annotation text"/>
    <w:lsdException w:unhideWhenUsed="0" w:uiPriority="99" w:name="header"/>
    <w:lsdException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1"/>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link w:val="30"/>
    <w:qFormat/>
    <w:locked/>
    <w:uiPriority w:val="99"/>
    <w:pPr>
      <w:ind w:firstLine="420"/>
    </w:pPr>
    <w:rPr>
      <w:rFonts w:ascii="Calibri" w:hAnsi="Calibri"/>
    </w:rPr>
  </w:style>
  <w:style w:type="paragraph" w:styleId="4">
    <w:name w:val="annotation text"/>
    <w:basedOn w:val="1"/>
    <w:link w:val="18"/>
    <w:semiHidden/>
    <w:qFormat/>
    <w:uiPriority w:val="99"/>
    <w:pPr>
      <w:jc w:val="left"/>
    </w:pPr>
    <w:rPr>
      <w:rFonts w:ascii="Calibri" w:hAnsi="Calibri"/>
    </w:rPr>
  </w:style>
  <w:style w:type="paragraph" w:styleId="5">
    <w:name w:val="Body Text Indent"/>
    <w:basedOn w:val="1"/>
    <w:link w:val="19"/>
    <w:locked/>
    <w:uiPriority w:val="99"/>
    <w:pPr>
      <w:tabs>
        <w:tab w:val="left" w:pos="900"/>
      </w:tabs>
      <w:adjustRightInd w:val="0"/>
      <w:spacing w:line="360" w:lineRule="auto"/>
      <w:ind w:firstLine="510"/>
    </w:pPr>
    <w:rPr>
      <w:rFonts w:ascii="宋体"/>
      <w:sz w:val="28"/>
    </w:rPr>
  </w:style>
  <w:style w:type="paragraph" w:styleId="6">
    <w:name w:val="Plain Text"/>
    <w:basedOn w:val="1"/>
    <w:link w:val="26"/>
    <w:uiPriority w:val="99"/>
    <w:rPr>
      <w:rFonts w:ascii="宋体" w:hAnsi="Courier New"/>
      <w:kern w:val="0"/>
    </w:rPr>
  </w:style>
  <w:style w:type="paragraph" w:styleId="7">
    <w:name w:val="Balloon Text"/>
    <w:basedOn w:val="1"/>
    <w:link w:val="21"/>
    <w:semiHidden/>
    <w:uiPriority w:val="99"/>
    <w:rPr>
      <w:sz w:val="18"/>
    </w:rPr>
  </w:style>
  <w:style w:type="paragraph" w:styleId="8">
    <w:name w:val="footer"/>
    <w:basedOn w:val="1"/>
    <w:link w:val="22"/>
    <w:uiPriority w:val="99"/>
    <w:pPr>
      <w:tabs>
        <w:tab w:val="center" w:pos="4153"/>
        <w:tab w:val="right" w:pos="8306"/>
      </w:tabs>
      <w:snapToGrid w:val="0"/>
      <w:jc w:val="left"/>
    </w:pPr>
    <w:rPr>
      <w:kern w:val="0"/>
      <w:sz w:val="18"/>
    </w:rPr>
  </w:style>
  <w:style w:type="paragraph" w:styleId="9">
    <w:name w:val="header"/>
    <w:basedOn w:val="1"/>
    <w:link w:val="23"/>
    <w:semiHidden/>
    <w:uiPriority w:val="99"/>
    <w:pPr>
      <w:pBdr>
        <w:bottom w:val="single" w:color="auto" w:sz="6" w:space="1"/>
      </w:pBdr>
      <w:tabs>
        <w:tab w:val="center" w:pos="4153"/>
        <w:tab w:val="right" w:pos="8306"/>
      </w:tabs>
      <w:snapToGrid w:val="0"/>
      <w:jc w:val="center"/>
    </w:pPr>
    <w:rPr>
      <w:kern w:val="0"/>
      <w:sz w:val="18"/>
    </w:rPr>
  </w:style>
  <w:style w:type="paragraph" w:styleId="10">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1">
    <w:name w:val="annotation subject"/>
    <w:basedOn w:val="4"/>
    <w:next w:val="4"/>
    <w:link w:val="24"/>
    <w:semiHidden/>
    <w:qFormat/>
    <w:uiPriority w:val="99"/>
    <w:rPr>
      <w:rFonts w:ascii="Times New Roman" w:hAnsi="Times New Roman"/>
      <w:b/>
      <w:sz w:val="20"/>
    </w:rPr>
  </w:style>
  <w:style w:type="table" w:styleId="13">
    <w:name w:val="Table Grid"/>
    <w:basedOn w:val="12"/>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qFormat/>
    <w:uiPriority w:val="99"/>
    <w:rPr>
      <w:rFonts w:cs="Times New Roman"/>
    </w:rPr>
  </w:style>
  <w:style w:type="character" w:styleId="16">
    <w:name w:val="Hyperlink"/>
    <w:qFormat/>
    <w:locked/>
    <w:uiPriority w:val="99"/>
    <w:rPr>
      <w:rFonts w:cs="Times New Roman"/>
      <w:color w:val="0000FF"/>
      <w:u w:val="single"/>
    </w:rPr>
  </w:style>
  <w:style w:type="character" w:styleId="17">
    <w:name w:val="annotation reference"/>
    <w:semiHidden/>
    <w:qFormat/>
    <w:uiPriority w:val="99"/>
    <w:rPr>
      <w:rFonts w:cs="Times New Roman"/>
      <w:sz w:val="21"/>
    </w:rPr>
  </w:style>
  <w:style w:type="character" w:customStyle="1" w:styleId="18">
    <w:name w:val="批注文字 Char"/>
    <w:link w:val="4"/>
    <w:semiHidden/>
    <w:qFormat/>
    <w:locked/>
    <w:uiPriority w:val="99"/>
    <w:rPr>
      <w:rFonts w:eastAsia="宋体" w:cs="Times New Roman"/>
      <w:kern w:val="2"/>
      <w:sz w:val="21"/>
      <w:lang w:val="en-US" w:eastAsia="zh-CN"/>
    </w:rPr>
  </w:style>
  <w:style w:type="character" w:customStyle="1" w:styleId="19">
    <w:name w:val="正文文本缩进 Char"/>
    <w:link w:val="5"/>
    <w:semiHidden/>
    <w:locked/>
    <w:uiPriority w:val="99"/>
    <w:rPr>
      <w:rFonts w:ascii="Times New Roman" w:hAnsi="Times New Roman" w:cs="Times New Roman"/>
      <w:sz w:val="20"/>
      <w:szCs w:val="20"/>
    </w:rPr>
  </w:style>
  <w:style w:type="character" w:customStyle="1" w:styleId="20">
    <w:name w:val="Plain Text Char"/>
    <w:qFormat/>
    <w:locked/>
    <w:uiPriority w:val="99"/>
    <w:rPr>
      <w:rFonts w:ascii="宋体" w:hAnsi="Courier New" w:eastAsia="宋体" w:cs="Times New Roman"/>
      <w:sz w:val="21"/>
    </w:rPr>
  </w:style>
  <w:style w:type="character" w:customStyle="1" w:styleId="21">
    <w:name w:val="批注框文本 Char"/>
    <w:link w:val="7"/>
    <w:semiHidden/>
    <w:locked/>
    <w:uiPriority w:val="99"/>
    <w:rPr>
      <w:rFonts w:ascii="Times New Roman" w:hAnsi="Times New Roman" w:cs="Times New Roman"/>
      <w:kern w:val="2"/>
      <w:sz w:val="18"/>
    </w:rPr>
  </w:style>
  <w:style w:type="character" w:customStyle="1" w:styleId="22">
    <w:name w:val="页脚 Char"/>
    <w:link w:val="8"/>
    <w:qFormat/>
    <w:locked/>
    <w:uiPriority w:val="99"/>
    <w:rPr>
      <w:rFonts w:ascii="Times New Roman" w:hAnsi="Times New Roman" w:eastAsia="宋体" w:cs="Times New Roman"/>
      <w:sz w:val="18"/>
    </w:rPr>
  </w:style>
  <w:style w:type="character" w:customStyle="1" w:styleId="23">
    <w:name w:val="页眉 Char"/>
    <w:link w:val="9"/>
    <w:semiHidden/>
    <w:locked/>
    <w:uiPriority w:val="99"/>
    <w:rPr>
      <w:rFonts w:ascii="Times New Roman" w:hAnsi="Times New Roman" w:eastAsia="宋体" w:cs="Times New Roman"/>
      <w:sz w:val="18"/>
    </w:rPr>
  </w:style>
  <w:style w:type="character" w:customStyle="1" w:styleId="24">
    <w:name w:val="批注主题 Char"/>
    <w:link w:val="11"/>
    <w:semiHidden/>
    <w:locked/>
    <w:uiPriority w:val="99"/>
    <w:rPr>
      <w:rFonts w:ascii="Times New Roman" w:hAnsi="Times New Roman" w:eastAsia="宋体" w:cs="Times New Roman"/>
      <w:b/>
      <w:kern w:val="2"/>
      <w:sz w:val="20"/>
      <w:lang w:val="en-US" w:eastAsia="zh-CN"/>
    </w:rPr>
  </w:style>
  <w:style w:type="character" w:customStyle="1" w:styleId="25">
    <w:name w:val="Plain Text Char1"/>
    <w:semiHidden/>
    <w:qFormat/>
    <w:locked/>
    <w:uiPriority w:val="99"/>
    <w:rPr>
      <w:rFonts w:ascii="宋体" w:hAnsi="Courier New"/>
      <w:sz w:val="21"/>
    </w:rPr>
  </w:style>
  <w:style w:type="character" w:customStyle="1" w:styleId="26">
    <w:name w:val="纯文本 Char1"/>
    <w:link w:val="6"/>
    <w:semiHidden/>
    <w:qFormat/>
    <w:locked/>
    <w:uiPriority w:val="99"/>
    <w:rPr>
      <w:rFonts w:ascii="宋体" w:hAnsi="Courier New" w:eastAsia="宋体"/>
      <w:sz w:val="21"/>
    </w:rPr>
  </w:style>
  <w:style w:type="paragraph" w:styleId="27">
    <w:name w:val="List Paragraph"/>
    <w:basedOn w:val="1"/>
    <w:qFormat/>
    <w:uiPriority w:val="99"/>
    <w:pPr>
      <w:ind w:firstLine="420" w:firstLineChars="200"/>
    </w:pPr>
  </w:style>
  <w:style w:type="character" w:customStyle="1" w:styleId="28">
    <w:name w:val="纯文本 Char"/>
    <w:qFormat/>
    <w:uiPriority w:val="99"/>
    <w:rPr>
      <w:rFonts w:ascii="宋体" w:hAnsi="Courier New" w:eastAsia="宋体"/>
      <w:kern w:val="2"/>
      <w:sz w:val="21"/>
      <w:lang w:val="en-US" w:eastAsia="zh-CN"/>
    </w:rPr>
  </w:style>
  <w:style w:type="character" w:customStyle="1" w:styleId="29">
    <w:name w:val="Char Char3"/>
    <w:qFormat/>
    <w:uiPriority w:val="99"/>
    <w:rPr>
      <w:rFonts w:ascii="宋体" w:hAnsi="Courier New" w:eastAsia="宋体"/>
      <w:kern w:val="2"/>
      <w:sz w:val="21"/>
      <w:lang w:val="en-US" w:eastAsia="zh-CN"/>
    </w:rPr>
  </w:style>
  <w:style w:type="character" w:customStyle="1" w:styleId="30">
    <w:name w:val="正文缩进 Char"/>
    <w:link w:val="3"/>
    <w:qFormat/>
    <w:locked/>
    <w:uiPriority w:val="99"/>
    <w:rPr>
      <w:kern w:val="2"/>
      <w:sz w:val="21"/>
    </w:rPr>
  </w:style>
  <w:style w:type="character" w:customStyle="1" w:styleId="31">
    <w:name w:val="标题 1 Char"/>
    <w:basedOn w:val="14"/>
    <w:link w:val="2"/>
    <w:qFormat/>
    <w:uiPriority w:val="9"/>
    <w:rPr>
      <w:rFonts w:ascii="宋体" w:hAnsi="宋体" w:cs="宋体"/>
      <w:b/>
      <w:bCs/>
      <w:kern w:val="36"/>
      <w:sz w:val="48"/>
      <w:szCs w:val="4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8966</Words>
  <Characters>8966</Characters>
  <Lines>373</Lines>
  <Paragraphs>201</Paragraphs>
  <TotalTime>368</TotalTime>
  <ScaleCrop>false</ScaleCrop>
  <LinksUpToDate>false</LinksUpToDate>
  <CharactersWithSpaces>17731</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2019-11-12T07:59:00Z</dcterms:created>
  <dc:creator>fan</dc:creator>
  <cp:lastModifiedBy>王树乔</cp:lastModifiedBy>
  <cp:lastPrinted>2018-10-30T07:52:00Z</cp:lastPrinted>
  <dcterms:modified xsi:type="dcterms:W3CDTF">2019-11-15T08:54:47Z</dcterms:modified>
  <dc:title>淮阴工学院</dc:title>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